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528AC" w:rsidRDefault="00C62CE1" w:rsidP="009528AC">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机房</w:t>
      </w:r>
      <w:r w:rsidR="00EB2F24" w:rsidRPr="009528AC">
        <w:rPr>
          <w:rFonts w:ascii="方正小标宋简体" w:eastAsia="方正小标宋简体" w:hint="eastAsia"/>
          <w:sz w:val="44"/>
          <w:szCs w:val="44"/>
        </w:rPr>
        <w:t>运维服务需求</w:t>
      </w:r>
    </w:p>
    <w:p w:rsidR="00EB2F24" w:rsidRPr="009528AC" w:rsidRDefault="00EB2F24" w:rsidP="009528AC">
      <w:pPr>
        <w:spacing w:line="220" w:lineRule="atLeast"/>
        <w:ind w:firstLineChars="200" w:firstLine="640"/>
        <w:rPr>
          <w:rFonts w:ascii="黑体" w:eastAsia="黑体" w:hAnsi="黑体"/>
          <w:sz w:val="32"/>
          <w:szCs w:val="32"/>
        </w:rPr>
      </w:pPr>
      <w:r w:rsidRPr="009528AC">
        <w:rPr>
          <w:rFonts w:ascii="黑体" w:eastAsia="黑体" w:hAnsi="黑体" w:hint="eastAsia"/>
          <w:sz w:val="32"/>
          <w:szCs w:val="32"/>
        </w:rPr>
        <w:t>一、采购需求</w:t>
      </w:r>
    </w:p>
    <w:p w:rsidR="00EB2F24" w:rsidRPr="009528AC" w:rsidRDefault="00EB2F24"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机房整体打包运维管理，含</w:t>
      </w:r>
      <w:r w:rsidR="009528AC" w:rsidRPr="009528AC">
        <w:rPr>
          <w:rFonts w:ascii="仿宋_GB2312" w:eastAsia="仿宋_GB2312" w:hint="eastAsia"/>
          <w:sz w:val="32"/>
          <w:szCs w:val="32"/>
        </w:rPr>
        <w:t>数据库系统设计、虚拟化系统设计、服务器操作系统维护、网络系统维护、安全系统规划设计、虚拟环境系统维护、数据备份、恢复及维护。</w:t>
      </w: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我院现有</w:t>
      </w:r>
      <w:r w:rsidR="00553D9B">
        <w:rPr>
          <w:rFonts w:ascii="仿宋_GB2312" w:eastAsia="仿宋_GB2312" w:hint="eastAsia"/>
          <w:sz w:val="32"/>
          <w:szCs w:val="32"/>
        </w:rPr>
        <w:t>机房</w:t>
      </w:r>
      <w:r w:rsidRPr="009528AC">
        <w:rPr>
          <w:rFonts w:ascii="仿宋_GB2312" w:eastAsia="仿宋_GB2312" w:hint="eastAsia"/>
          <w:sz w:val="32"/>
          <w:szCs w:val="32"/>
        </w:rPr>
        <w:t>包含数据系统、应用系统、虚拟化系统，包含多种硬件设备和软件系统。</w:t>
      </w: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服务器系统包含多台X86服务器系统。</w:t>
      </w: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存储系统有华为、曙光等品牌。</w:t>
      </w: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网络与安全系统包含核心交换机、路由器、防火墙等设备。</w:t>
      </w: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软件系统包括LINUX操作系统、Windows操作系统、服务器虚拟化系统、双机集群软件、数据库软件等。</w:t>
      </w:r>
    </w:p>
    <w:p w:rsidR="009528AC" w:rsidRDefault="009528AC" w:rsidP="009528AC">
      <w:pPr>
        <w:spacing w:after="0" w:line="540" w:lineRule="exact"/>
        <w:ind w:firstLineChars="200" w:firstLine="640"/>
        <w:rPr>
          <w:rFonts w:ascii="仿宋_GB2312" w:eastAsia="仿宋_GB2312"/>
          <w:sz w:val="32"/>
          <w:szCs w:val="32"/>
        </w:rPr>
      </w:pPr>
    </w:p>
    <w:p w:rsidR="009528AC" w:rsidRPr="009528AC" w:rsidRDefault="009528AC" w:rsidP="009528AC">
      <w:pPr>
        <w:spacing w:after="0" w:line="540" w:lineRule="exact"/>
        <w:ind w:firstLineChars="200" w:firstLine="640"/>
        <w:rPr>
          <w:rFonts w:ascii="仿宋_GB2312" w:eastAsia="仿宋_GB2312"/>
          <w:sz w:val="32"/>
          <w:szCs w:val="32"/>
        </w:rPr>
      </w:pPr>
      <w:r w:rsidRPr="009528AC">
        <w:rPr>
          <w:rFonts w:ascii="仿宋_GB2312" w:eastAsia="仿宋_GB2312" w:hint="eastAsia"/>
          <w:sz w:val="32"/>
          <w:szCs w:val="32"/>
        </w:rPr>
        <w:t>具体内容如下：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5"/>
        <w:gridCol w:w="6180"/>
      </w:tblGrid>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1</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b/>
                <w:color w:val="000000"/>
                <w:shd w:val="clear" w:color="auto" w:fill="FFFF99"/>
              </w:rPr>
              <w:t>数据库系统设计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生产系统数据库</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数据库</w:t>
            </w:r>
            <w:r>
              <w:rPr>
                <w:rFonts w:ascii="宋体" w:hAnsi="宋体"/>
                <w:color w:val="000000"/>
              </w:rPr>
              <w:t>(database)</w:t>
            </w:r>
            <w:r>
              <w:rPr>
                <w:rFonts w:ascii="宋体" w:hAnsi="宋体"/>
                <w:color w:val="000000"/>
              </w:rPr>
              <w:t>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数据库分区（</w:t>
            </w:r>
            <w:proofErr w:type="spellStart"/>
            <w:r>
              <w:rPr>
                <w:rFonts w:ascii="宋体" w:hAnsi="宋体"/>
                <w:color w:val="000000"/>
              </w:rPr>
              <w:t>Partitaion</w:t>
            </w:r>
            <w:proofErr w:type="spellEnd"/>
            <w:r>
              <w:rPr>
                <w:rFonts w:ascii="宋体" w:hAnsi="宋体"/>
                <w:color w:val="000000"/>
              </w:rPr>
              <w:t>）的设计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聚簇（</w:t>
            </w:r>
            <w:r>
              <w:rPr>
                <w:rFonts w:ascii="宋体" w:hAnsi="宋体"/>
                <w:color w:val="000000"/>
              </w:rPr>
              <w:t>Cluster</w:t>
            </w:r>
            <w:r>
              <w:rPr>
                <w:rFonts w:ascii="宋体" w:hAnsi="宋体"/>
                <w:color w:val="000000"/>
              </w:rPr>
              <w:t>）的设计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表空间（</w:t>
            </w:r>
            <w:proofErr w:type="spellStart"/>
            <w:r>
              <w:rPr>
                <w:rFonts w:ascii="宋体" w:hAnsi="宋体"/>
                <w:color w:val="000000"/>
              </w:rPr>
              <w:t>TableSpace</w:t>
            </w:r>
            <w:proofErr w:type="spellEnd"/>
            <w:r>
              <w:rPr>
                <w:rFonts w:ascii="宋体" w:hAnsi="宋体"/>
                <w:color w:val="000000"/>
              </w:rPr>
              <w:t>）的设计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表及索引（</w:t>
            </w:r>
            <w:r>
              <w:rPr>
                <w:rFonts w:ascii="宋体" w:hAnsi="宋体"/>
                <w:color w:val="000000"/>
              </w:rPr>
              <w:t>Table/Index</w:t>
            </w:r>
            <w:r>
              <w:rPr>
                <w:rFonts w:ascii="宋体" w:hAnsi="宋体"/>
                <w:color w:val="000000"/>
              </w:rPr>
              <w:t>）的设计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Oracle</w:t>
            </w:r>
            <w:r>
              <w:rPr>
                <w:rFonts w:ascii="宋体" w:hAnsi="宋体"/>
                <w:color w:val="000000"/>
              </w:rPr>
              <w:t>用户（</w:t>
            </w:r>
            <w:r>
              <w:rPr>
                <w:rFonts w:ascii="宋体" w:hAnsi="宋体"/>
                <w:color w:val="000000"/>
              </w:rPr>
              <w:t>User</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数据库角色（</w:t>
            </w:r>
            <w:r>
              <w:rPr>
                <w:rFonts w:ascii="宋体" w:hAnsi="宋体"/>
                <w:color w:val="000000"/>
              </w:rPr>
              <w:t>Database Role</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数据库接口设计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物理设计</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2</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hint="eastAsia"/>
                <w:b/>
                <w:color w:val="000000"/>
                <w:shd w:val="clear" w:color="auto" w:fill="FFFF99"/>
              </w:rPr>
              <w:t>虚拟化系统设计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生产区数据库主机规划与设计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主机系统拓扑设计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主机资源规划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主机命名规则</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主机容错设计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虚拟化日常维护</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3</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b/>
                <w:color w:val="000000"/>
                <w:shd w:val="clear" w:color="auto" w:fill="FFFF99"/>
              </w:rPr>
              <w:t>操作系统</w:t>
            </w:r>
            <w:r>
              <w:rPr>
                <w:rFonts w:ascii="宋体" w:hAnsi="宋体" w:hint="eastAsia"/>
                <w:b/>
                <w:color w:val="000000"/>
                <w:shd w:val="clear" w:color="auto" w:fill="FFFF99"/>
              </w:rPr>
              <w:t>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生产区数据库主机操作系统规划与设计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操作系统补丁管理与验证</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用户及组的权限管理设计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文件系统设计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容错及并行系统设计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生产区应用主机操作系统规划与设计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操作系统补丁管理与验证</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用户及组的权限管理设计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文件系统设计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容错及并行系统设计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磁盘阵列规划与设计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根据信息生命周期管理设计存储资源</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磁盘分布及</w:t>
            </w:r>
            <w:r>
              <w:rPr>
                <w:rFonts w:ascii="宋体" w:hAnsi="宋体"/>
                <w:color w:val="000000"/>
              </w:rPr>
              <w:t>IO</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读写</w:t>
            </w:r>
            <w:r>
              <w:rPr>
                <w:rFonts w:ascii="宋体" w:hAnsi="宋体"/>
                <w:color w:val="000000"/>
              </w:rPr>
              <w:t>Cache</w:t>
            </w:r>
            <w:r>
              <w:rPr>
                <w:rFonts w:ascii="宋体" w:hAnsi="宋体"/>
                <w:color w:val="000000"/>
              </w:rPr>
              <w:t>比例设计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RAID</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proofErr w:type="spellStart"/>
            <w:r>
              <w:rPr>
                <w:rFonts w:ascii="宋体" w:hAnsi="宋体"/>
                <w:color w:val="000000"/>
              </w:rPr>
              <w:t>Hotspare</w:t>
            </w:r>
            <w:proofErr w:type="spellEnd"/>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LUN</w:t>
            </w:r>
            <w:r>
              <w:rPr>
                <w:rFonts w:ascii="宋体" w:hAnsi="宋体"/>
                <w:color w:val="000000"/>
              </w:rPr>
              <w:t>划分设计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Snapshot</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SAN</w:t>
            </w:r>
            <w:r>
              <w:rPr>
                <w:rFonts w:ascii="宋体" w:hAnsi="宋体"/>
                <w:b/>
                <w:color w:val="000000"/>
              </w:rPr>
              <w:t>交换机的规划与设计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根据应用划分</w:t>
            </w:r>
            <w:r>
              <w:rPr>
                <w:rFonts w:ascii="宋体" w:hAnsi="宋体"/>
                <w:color w:val="000000"/>
              </w:rPr>
              <w:t>ZONE</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SAN</w:t>
            </w:r>
            <w:r>
              <w:rPr>
                <w:rFonts w:ascii="宋体" w:hAnsi="宋体"/>
                <w:color w:val="000000"/>
              </w:rPr>
              <w:t>交换机安全控制设计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端口绑定</w:t>
            </w:r>
            <w:r>
              <w:rPr>
                <w:rFonts w:ascii="宋体" w:hAnsi="宋体"/>
                <w:color w:val="000000"/>
              </w:rPr>
              <w:t>(Trunk)</w:t>
            </w:r>
            <w:r>
              <w:rPr>
                <w:rFonts w:ascii="宋体" w:hAnsi="宋体"/>
                <w:color w:val="000000"/>
              </w:rPr>
              <w:t>设计</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4</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b/>
                <w:color w:val="000000"/>
                <w:shd w:val="clear" w:color="auto" w:fill="FFFF99"/>
              </w:rPr>
              <w:t>网络系统</w:t>
            </w:r>
            <w:r>
              <w:rPr>
                <w:rFonts w:ascii="宋体" w:hAnsi="宋体" w:hint="eastAsia"/>
                <w:b/>
                <w:color w:val="000000"/>
                <w:shd w:val="clear" w:color="auto" w:fill="FFFF99"/>
              </w:rPr>
              <w:t>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网络系统整体规划</w:t>
            </w:r>
            <w:r w:rsidRPr="00AA0DFC">
              <w:rPr>
                <w:rFonts w:ascii="宋体" w:hAnsi="宋体" w:hint="eastAsia"/>
                <w:b/>
                <w:color w:val="000000" w:themeColor="text1"/>
              </w:rPr>
              <w:t>与日常维护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网络系统需求分析</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网络系统结构和容量规划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Pr="00AA0DFC" w:rsidRDefault="009528AC" w:rsidP="00DB5701">
            <w:pPr>
              <w:autoSpaceDN w:val="0"/>
              <w:textAlignment w:val="center"/>
              <w:rPr>
                <w:rFonts w:ascii="宋体" w:hAnsi="宋体"/>
                <w:color w:val="000000" w:themeColor="text1"/>
              </w:rPr>
            </w:pPr>
            <w:r w:rsidRPr="00AA0DFC">
              <w:rPr>
                <w:rFonts w:ascii="宋体" w:hAnsi="宋体" w:hint="eastAsia"/>
                <w:color w:val="000000" w:themeColor="text1"/>
              </w:rPr>
              <w:t>网络系统日常维护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网络系统逻辑结构设计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业务种类划分</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信息流量流向分析</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网络设备安全控制规划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IP</w:t>
            </w:r>
            <w:r>
              <w:rPr>
                <w:rFonts w:ascii="宋体" w:hAnsi="宋体"/>
                <w:color w:val="000000"/>
              </w:rPr>
              <w:t>地址规划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LAN(</w:t>
            </w:r>
            <w:r>
              <w:rPr>
                <w:rFonts w:ascii="宋体" w:hAnsi="宋体"/>
                <w:color w:val="000000"/>
              </w:rPr>
              <w:t>局域网</w:t>
            </w:r>
            <w:r>
              <w:rPr>
                <w:rFonts w:ascii="宋体" w:hAnsi="宋体"/>
                <w:color w:val="000000"/>
              </w:rPr>
              <w:t>)</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MAN(</w:t>
            </w:r>
            <w:r>
              <w:rPr>
                <w:rFonts w:ascii="宋体" w:hAnsi="宋体"/>
                <w:color w:val="000000"/>
              </w:rPr>
              <w:t>城域网</w:t>
            </w:r>
            <w:r>
              <w:rPr>
                <w:rFonts w:ascii="宋体" w:hAnsi="宋体"/>
                <w:color w:val="000000"/>
              </w:rPr>
              <w:t>)</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WAN(</w:t>
            </w:r>
            <w:r>
              <w:rPr>
                <w:rFonts w:ascii="宋体" w:hAnsi="宋体"/>
                <w:color w:val="000000"/>
              </w:rPr>
              <w:t>广域网</w:t>
            </w:r>
            <w:r>
              <w:rPr>
                <w:rFonts w:ascii="宋体" w:hAnsi="宋体"/>
                <w:color w:val="000000"/>
              </w:rPr>
              <w:t>)</w:t>
            </w:r>
            <w:r>
              <w:rPr>
                <w:rFonts w:ascii="宋体" w:hAnsi="宋体"/>
                <w:color w:val="000000"/>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子网</w:t>
            </w:r>
            <w:r>
              <w:rPr>
                <w:rFonts w:ascii="宋体" w:hAnsi="宋体"/>
                <w:color w:val="000000"/>
              </w:rPr>
              <w:t>/VLAN</w:t>
            </w:r>
            <w:r>
              <w:rPr>
                <w:rFonts w:ascii="宋体" w:hAnsi="宋体"/>
                <w:color w:val="000000"/>
              </w:rPr>
              <w:t>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proofErr w:type="spellStart"/>
            <w:r>
              <w:rPr>
                <w:rFonts w:ascii="宋体" w:hAnsi="宋体"/>
                <w:color w:val="000000"/>
              </w:rPr>
              <w:t>Qos/CoS</w:t>
            </w:r>
            <w:proofErr w:type="spellEnd"/>
            <w:r>
              <w:rPr>
                <w:rFonts w:ascii="宋体" w:hAnsi="宋体"/>
                <w:color w:val="000000"/>
              </w:rPr>
              <w:t>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网络设备命名规则</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网络系统拓扑结构设计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网络系统路由协议设计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网络系统物理结构设计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信息资源分布</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信息站点分布</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传输链路路由设计</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5</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b/>
                <w:color w:val="000000"/>
                <w:shd w:val="clear" w:color="auto" w:fill="FFFF99"/>
              </w:rPr>
              <w:t>安全系统规划</w:t>
            </w:r>
            <w:r>
              <w:rPr>
                <w:rFonts w:ascii="宋体" w:hAnsi="宋体" w:hint="eastAsia"/>
                <w:b/>
                <w:color w:val="000000"/>
                <w:shd w:val="clear" w:color="auto" w:fill="FFFF99"/>
              </w:rPr>
              <w:t>、</w:t>
            </w:r>
            <w:r>
              <w:rPr>
                <w:rFonts w:ascii="宋体" w:hAnsi="宋体"/>
                <w:b/>
                <w:color w:val="000000"/>
                <w:shd w:val="clear" w:color="auto" w:fill="FFFF99"/>
              </w:rPr>
              <w:t>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b/>
                <w:color w:val="000000"/>
              </w:rPr>
            </w:pPr>
            <w:r>
              <w:rPr>
                <w:rFonts w:ascii="宋体" w:hAnsi="宋体"/>
                <w:b/>
                <w:color w:val="000000"/>
              </w:rPr>
              <w:t>安全系统整体规划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物理层安全设计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链路层安全设计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网络层安全设计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主机操作系统安全设计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数据库系统安全设计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中间件系统安全设计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应用系统安全设计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网络系统安全审计设计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防病毒系统设计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安全域逻辑隔离与访问控制设计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网络入侵检测规划</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网络安全漏洞扫描设计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跨安全域隔离与数据提取设计</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color w:val="000000"/>
              </w:rPr>
              <w:t>CA</w:t>
            </w:r>
            <w:r>
              <w:rPr>
                <w:rFonts w:ascii="宋体" w:hAnsi="宋体"/>
                <w:color w:val="000000"/>
              </w:rPr>
              <w:t>认证系统规划</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6</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hint="eastAsia"/>
                <w:b/>
                <w:color w:val="000000"/>
                <w:shd w:val="clear" w:color="auto" w:fill="FFFF99"/>
              </w:rPr>
              <w:t>虚拟环境</w:t>
            </w:r>
            <w:r>
              <w:rPr>
                <w:rFonts w:ascii="宋体" w:hAnsi="宋体"/>
                <w:b/>
                <w:color w:val="000000"/>
                <w:shd w:val="clear" w:color="auto" w:fill="FFFF99"/>
              </w:rPr>
              <w:t>系统</w:t>
            </w:r>
            <w:r>
              <w:rPr>
                <w:rFonts w:ascii="宋体" w:hAnsi="宋体" w:hint="eastAsia"/>
                <w:b/>
                <w:color w:val="000000"/>
                <w:shd w:val="clear" w:color="auto" w:fill="FFFF99"/>
              </w:rPr>
              <w:t>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虚拟机环境安装与部署</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虚拟机环境备份与恢复</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虚拟机环境配置与调优</w:t>
            </w:r>
          </w:p>
        </w:tc>
      </w:tr>
      <w:tr w:rsidR="009528AC" w:rsidTr="009528AC">
        <w:trPr>
          <w:trHeight w:val="300"/>
          <w:jc w:val="center"/>
        </w:trPr>
        <w:tc>
          <w:tcPr>
            <w:tcW w:w="1185" w:type="dxa"/>
            <w:tcBorders>
              <w:tl2br w:val="nil"/>
              <w:tr2bl w:val="nil"/>
            </w:tcBorders>
            <w:vAlign w:val="center"/>
          </w:tcPr>
          <w:p w:rsidR="009528AC" w:rsidRPr="008D2018"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虚拟机环境维护与故障排除</w:t>
            </w:r>
          </w:p>
        </w:tc>
      </w:tr>
      <w:tr w:rsidR="009528AC" w:rsidTr="009528AC">
        <w:trPr>
          <w:trHeight w:val="300"/>
          <w:jc w:val="center"/>
        </w:trPr>
        <w:tc>
          <w:tcPr>
            <w:tcW w:w="1185" w:type="dxa"/>
            <w:tcBorders>
              <w:tl2br w:val="nil"/>
              <w:tr2bl w:val="nil"/>
            </w:tcBorders>
            <w:shd w:val="solid" w:color="FFFF99" w:fill="auto"/>
            <w:vAlign w:val="center"/>
          </w:tcPr>
          <w:p w:rsidR="009528AC" w:rsidRDefault="009528AC" w:rsidP="00DB5701">
            <w:pPr>
              <w:shd w:val="solid" w:color="FFFF99" w:fill="auto"/>
              <w:autoSpaceDN w:val="0"/>
              <w:jc w:val="center"/>
              <w:textAlignment w:val="center"/>
              <w:rPr>
                <w:rFonts w:ascii="宋体" w:hAnsi="宋体"/>
                <w:b/>
                <w:color w:val="000000"/>
                <w:shd w:val="clear" w:color="auto" w:fill="FFFF99"/>
              </w:rPr>
            </w:pPr>
            <w:r>
              <w:rPr>
                <w:rFonts w:hint="eastAsia"/>
                <w:b/>
                <w:color w:val="000000"/>
                <w:shd w:val="clear" w:color="auto" w:fill="FFFF99"/>
              </w:rPr>
              <w:t>（</w:t>
            </w:r>
            <w:r>
              <w:rPr>
                <w:rFonts w:hint="eastAsia"/>
                <w:b/>
                <w:color w:val="000000"/>
                <w:shd w:val="clear" w:color="auto" w:fill="FFFF99"/>
              </w:rPr>
              <w:t>7</w:t>
            </w:r>
            <w:r>
              <w:rPr>
                <w:rFonts w:hint="eastAsia"/>
                <w:b/>
                <w:color w:val="000000"/>
                <w:shd w:val="clear" w:color="auto" w:fill="FFFF99"/>
              </w:rPr>
              <w:t>）</w:t>
            </w:r>
          </w:p>
        </w:tc>
        <w:tc>
          <w:tcPr>
            <w:tcW w:w="6180" w:type="dxa"/>
            <w:tcBorders>
              <w:tl2br w:val="nil"/>
              <w:tr2bl w:val="nil"/>
            </w:tcBorders>
            <w:shd w:val="solid" w:color="FFFF99" w:fill="auto"/>
            <w:vAlign w:val="center"/>
          </w:tcPr>
          <w:p w:rsidR="009528AC" w:rsidRDefault="009528AC" w:rsidP="00DB5701">
            <w:pPr>
              <w:shd w:val="solid" w:color="FFFF99" w:fill="auto"/>
              <w:autoSpaceDN w:val="0"/>
              <w:textAlignment w:val="center"/>
              <w:rPr>
                <w:rFonts w:ascii="宋体" w:hAnsi="宋体"/>
                <w:b/>
                <w:color w:val="000000"/>
                <w:shd w:val="clear" w:color="auto" w:fill="FFFF99"/>
              </w:rPr>
            </w:pPr>
            <w:r>
              <w:rPr>
                <w:rFonts w:ascii="宋体" w:hAnsi="宋体" w:hint="eastAsia"/>
                <w:b/>
                <w:color w:val="000000"/>
                <w:shd w:val="clear" w:color="auto" w:fill="FFFF99"/>
              </w:rPr>
              <w:t>数据备份、恢复及维护</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生产数据库备份与恢复</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生产数据库配置与调优</w:t>
            </w:r>
          </w:p>
        </w:tc>
      </w:tr>
      <w:tr w:rsidR="009528AC" w:rsidTr="009528AC">
        <w:trPr>
          <w:trHeight w:val="300"/>
          <w:jc w:val="center"/>
        </w:trPr>
        <w:tc>
          <w:tcPr>
            <w:tcW w:w="1185" w:type="dxa"/>
            <w:tcBorders>
              <w:tl2br w:val="nil"/>
              <w:tr2bl w:val="nil"/>
            </w:tcBorders>
            <w:vAlign w:val="center"/>
          </w:tcPr>
          <w:p w:rsidR="009528AC" w:rsidRDefault="009528AC" w:rsidP="00DB5701">
            <w:pPr>
              <w:autoSpaceDN w:val="0"/>
              <w:jc w:val="center"/>
              <w:textAlignment w:val="center"/>
              <w:rPr>
                <w:rFonts w:ascii="宋体" w:hAnsi="宋体"/>
                <w:b/>
                <w:color w:val="000000"/>
              </w:rPr>
            </w:pPr>
          </w:p>
        </w:tc>
        <w:tc>
          <w:tcPr>
            <w:tcW w:w="6180" w:type="dxa"/>
            <w:tcBorders>
              <w:tl2br w:val="nil"/>
              <w:tr2bl w:val="nil"/>
            </w:tcBorders>
            <w:vAlign w:val="center"/>
          </w:tcPr>
          <w:p w:rsidR="009528AC" w:rsidRDefault="009528AC" w:rsidP="00DB5701">
            <w:pPr>
              <w:autoSpaceDN w:val="0"/>
              <w:textAlignment w:val="center"/>
              <w:rPr>
                <w:rFonts w:ascii="宋体" w:hAnsi="宋体"/>
                <w:color w:val="000000"/>
              </w:rPr>
            </w:pPr>
            <w:r>
              <w:rPr>
                <w:rFonts w:ascii="宋体" w:hAnsi="宋体" w:hint="eastAsia"/>
                <w:color w:val="000000"/>
              </w:rPr>
              <w:t>数据库维护与故障排除</w:t>
            </w:r>
          </w:p>
        </w:tc>
      </w:tr>
    </w:tbl>
    <w:p w:rsidR="0014129E" w:rsidRDefault="0014129E" w:rsidP="0014129E">
      <w:pPr>
        <w:spacing w:line="220" w:lineRule="atLeast"/>
        <w:ind w:firstLineChars="200" w:firstLine="640"/>
        <w:rPr>
          <w:rFonts w:ascii="黑体" w:eastAsia="黑体" w:hAnsi="黑体"/>
          <w:sz w:val="32"/>
          <w:szCs w:val="32"/>
        </w:rPr>
      </w:pPr>
    </w:p>
    <w:p w:rsidR="009528AC" w:rsidRPr="0014129E" w:rsidRDefault="0014129E" w:rsidP="0014129E">
      <w:pPr>
        <w:spacing w:after="0" w:line="540" w:lineRule="exact"/>
        <w:ind w:firstLineChars="200" w:firstLine="640"/>
        <w:rPr>
          <w:rFonts w:ascii="黑体" w:eastAsia="黑体" w:hAnsi="黑体"/>
          <w:sz w:val="32"/>
          <w:szCs w:val="32"/>
        </w:rPr>
      </w:pPr>
      <w:r w:rsidRPr="0014129E">
        <w:rPr>
          <w:rFonts w:ascii="黑体" w:eastAsia="黑体" w:hAnsi="黑体" w:hint="eastAsia"/>
          <w:sz w:val="32"/>
          <w:szCs w:val="32"/>
        </w:rPr>
        <w:t>二、资质要求</w:t>
      </w:r>
    </w:p>
    <w:p w:rsidR="0014129E" w:rsidRPr="0014129E" w:rsidRDefault="0014129E" w:rsidP="0014129E">
      <w:pPr>
        <w:spacing w:after="0" w:line="540" w:lineRule="exact"/>
        <w:ind w:firstLineChars="200" w:firstLine="640"/>
        <w:rPr>
          <w:rFonts w:ascii="仿宋_GB2312" w:eastAsia="仿宋_GB2312"/>
          <w:sz w:val="32"/>
          <w:szCs w:val="32"/>
        </w:rPr>
      </w:pPr>
      <w:r w:rsidRPr="0014129E">
        <w:rPr>
          <w:rFonts w:ascii="仿宋_GB2312" w:eastAsia="仿宋_GB2312" w:hint="eastAsia"/>
          <w:sz w:val="32"/>
          <w:szCs w:val="32"/>
        </w:rPr>
        <w:t>1.投标人必须有至少1名ORACLE OCP认证工程师，1名H3C、华为或思科网络认证工程师，1名VMWARE VCP证书</w:t>
      </w:r>
      <w:r w:rsidR="000733EA">
        <w:rPr>
          <w:rFonts w:ascii="仿宋_GB2312" w:eastAsia="仿宋_GB2312" w:hint="eastAsia"/>
          <w:sz w:val="32"/>
          <w:szCs w:val="32"/>
        </w:rPr>
        <w:t>，</w:t>
      </w:r>
      <w:r w:rsidRPr="0014129E">
        <w:rPr>
          <w:rFonts w:ascii="仿宋_GB2312" w:eastAsia="仿宋_GB2312" w:hint="eastAsia"/>
          <w:sz w:val="32"/>
          <w:szCs w:val="32"/>
        </w:rPr>
        <w:t>1名PMP项目管理证书；</w:t>
      </w:r>
    </w:p>
    <w:p w:rsidR="0014129E" w:rsidRDefault="0014129E" w:rsidP="0014129E">
      <w:pPr>
        <w:spacing w:after="0" w:line="540" w:lineRule="exact"/>
        <w:ind w:firstLineChars="200" w:firstLine="640"/>
        <w:rPr>
          <w:rFonts w:ascii="仿宋_GB2312" w:eastAsia="仿宋_GB2312"/>
          <w:sz w:val="32"/>
          <w:szCs w:val="32"/>
        </w:rPr>
      </w:pPr>
      <w:r w:rsidRPr="0014129E">
        <w:rPr>
          <w:rFonts w:ascii="仿宋_GB2312" w:eastAsia="仿宋_GB2312" w:hint="eastAsia"/>
          <w:sz w:val="32"/>
          <w:szCs w:val="32"/>
        </w:rPr>
        <w:t>2.投标人要有近三年医院机房运维服务相关经验。</w:t>
      </w:r>
    </w:p>
    <w:p w:rsidR="000733EA" w:rsidRPr="000733EA" w:rsidRDefault="000733EA" w:rsidP="000733EA">
      <w:pPr>
        <w:spacing w:after="0" w:line="540" w:lineRule="exact"/>
        <w:ind w:firstLineChars="200" w:firstLine="640"/>
        <w:rPr>
          <w:rFonts w:ascii="黑体" w:eastAsia="黑体" w:hAnsi="黑体"/>
          <w:sz w:val="32"/>
          <w:szCs w:val="32"/>
        </w:rPr>
      </w:pPr>
      <w:r w:rsidRPr="000733EA">
        <w:rPr>
          <w:rFonts w:ascii="黑体" w:eastAsia="黑体" w:hAnsi="黑体" w:hint="eastAsia"/>
          <w:sz w:val="32"/>
          <w:szCs w:val="32"/>
        </w:rPr>
        <w:t>三、服务方式及服务标准</w:t>
      </w:r>
    </w:p>
    <w:p w:rsidR="000733EA" w:rsidRPr="000733EA" w:rsidRDefault="000733EA" w:rsidP="000733EA">
      <w:pPr>
        <w:spacing w:after="0" w:line="540" w:lineRule="exact"/>
        <w:ind w:firstLineChars="200" w:firstLine="643"/>
        <w:rPr>
          <w:rFonts w:ascii="仿宋_GB2312" w:eastAsia="仿宋_GB2312"/>
          <w:b/>
          <w:sz w:val="32"/>
          <w:szCs w:val="32"/>
        </w:rPr>
      </w:pPr>
      <w:bookmarkStart w:id="0" w:name="_Toc183833133"/>
      <w:bookmarkStart w:id="1" w:name="_Toc327804249"/>
      <w:bookmarkStart w:id="2" w:name="_Toc184028962"/>
      <w:bookmarkStart w:id="3" w:name="_Toc182024555"/>
      <w:r w:rsidRPr="000733EA">
        <w:rPr>
          <w:rFonts w:ascii="仿宋_GB2312" w:eastAsia="仿宋_GB2312" w:hint="eastAsia"/>
          <w:b/>
          <w:sz w:val="32"/>
          <w:szCs w:val="32"/>
        </w:rPr>
        <w:t>1.</w:t>
      </w:r>
      <w:bookmarkStart w:id="4" w:name="_Toc183833134"/>
      <w:bookmarkStart w:id="5" w:name="_Toc327804250"/>
      <w:bookmarkStart w:id="6" w:name="_Toc184028963"/>
      <w:bookmarkEnd w:id="0"/>
      <w:bookmarkEnd w:id="1"/>
      <w:bookmarkEnd w:id="2"/>
      <w:r w:rsidRPr="000733EA">
        <w:rPr>
          <w:rFonts w:ascii="仿宋_GB2312" w:eastAsia="仿宋_GB2312" w:hint="eastAsia"/>
          <w:b/>
          <w:sz w:val="32"/>
          <w:szCs w:val="32"/>
        </w:rPr>
        <w:t>预警服务</w:t>
      </w:r>
      <w:bookmarkEnd w:id="4"/>
      <w:bookmarkEnd w:id="5"/>
      <w:bookmarkEnd w:id="6"/>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为了避免出现重大故障，在不干扰业务运行的前提下，通过常规巡检，对网络、设备、系统及数据库等进行性能测试和效能分析，以便及时发现故障征兆。</w:t>
      </w:r>
      <w:bookmarkStart w:id="7" w:name="_Toc183833135"/>
    </w:p>
    <w:p w:rsidR="000733EA" w:rsidRPr="000733EA" w:rsidRDefault="000733EA" w:rsidP="000733EA">
      <w:pPr>
        <w:spacing w:after="0" w:line="540" w:lineRule="exact"/>
        <w:ind w:firstLineChars="200" w:firstLine="643"/>
        <w:rPr>
          <w:rFonts w:ascii="仿宋_GB2312" w:eastAsia="仿宋_GB2312"/>
          <w:b/>
          <w:sz w:val="32"/>
          <w:szCs w:val="32"/>
        </w:rPr>
      </w:pPr>
      <w:bookmarkStart w:id="8" w:name="_Toc327804251"/>
      <w:bookmarkStart w:id="9" w:name="_Toc184028964"/>
      <w:r w:rsidRPr="000733EA">
        <w:rPr>
          <w:rFonts w:ascii="仿宋_GB2312" w:eastAsia="仿宋_GB2312" w:hint="eastAsia"/>
          <w:b/>
          <w:sz w:val="32"/>
          <w:szCs w:val="32"/>
        </w:rPr>
        <w:t>2.协助服务</w:t>
      </w:r>
      <w:bookmarkEnd w:id="7"/>
      <w:bookmarkEnd w:id="8"/>
      <w:bookmarkEnd w:id="9"/>
    </w:p>
    <w:p w:rsidR="000733EA" w:rsidRPr="000F4FED" w:rsidRDefault="000733EA" w:rsidP="000733EA">
      <w:pPr>
        <w:spacing w:after="0" w:line="540" w:lineRule="exact"/>
        <w:ind w:firstLineChars="200" w:firstLine="640"/>
        <w:rPr>
          <w:rFonts w:ascii="仿宋_GB2312" w:eastAsia="仿宋_GB2312"/>
          <w:color w:val="000000" w:themeColor="text1"/>
          <w:sz w:val="32"/>
          <w:szCs w:val="32"/>
        </w:rPr>
      </w:pPr>
      <w:r w:rsidRPr="000733EA">
        <w:rPr>
          <w:rFonts w:ascii="仿宋_GB2312" w:eastAsia="仿宋_GB2312" w:hint="eastAsia"/>
          <w:sz w:val="32"/>
          <w:szCs w:val="32"/>
        </w:rPr>
        <w:lastRenderedPageBreak/>
        <w:t>主要指针对系统运行而进行的使用咨询、疑难问题解决和系统升级方案设计等，完成一些重大业务，如参数设置、数据转移、突发事件处理等维护服务活动。</w:t>
      </w:r>
      <w:bookmarkStart w:id="10" w:name="_Toc501357813"/>
      <w:bookmarkStart w:id="11" w:name="_Toc183833136"/>
    </w:p>
    <w:p w:rsidR="000733EA" w:rsidRPr="000733EA" w:rsidRDefault="000733EA" w:rsidP="000733EA">
      <w:pPr>
        <w:spacing w:after="0" w:line="540" w:lineRule="exact"/>
        <w:ind w:firstLineChars="200" w:firstLine="643"/>
        <w:rPr>
          <w:rFonts w:ascii="仿宋_GB2312" w:eastAsia="仿宋_GB2312"/>
          <w:b/>
          <w:sz w:val="32"/>
          <w:szCs w:val="32"/>
        </w:rPr>
      </w:pPr>
      <w:r w:rsidRPr="000733EA">
        <w:rPr>
          <w:rFonts w:ascii="仿宋_GB2312" w:eastAsia="仿宋_GB2312" w:hint="eastAsia"/>
          <w:b/>
          <w:sz w:val="32"/>
          <w:szCs w:val="32"/>
        </w:rPr>
        <w:t>3.建档造册服务</w:t>
      </w:r>
      <w:bookmarkEnd w:id="10"/>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梳理并统计我院各节点网络设备、安全设备、服务器设备、存储设备等信息，并做好变更管理。系统设备铭牌日志（如设备名称、合同采购号、产品生产日期、保修期限、IP地址、安装位置以及供应商、联系人名称、电话等）和系统设备现场情况书（如系统设备现场连接拓扑图、各系统设备接口永久不褪色标签标记，变更记录表等），形成《中心机房设备资产统计表》</w:t>
      </w:r>
      <w:r>
        <w:rPr>
          <w:rFonts w:ascii="仿宋_GB2312" w:eastAsia="仿宋_GB2312" w:hint="eastAsia"/>
          <w:sz w:val="32"/>
          <w:szCs w:val="32"/>
        </w:rPr>
        <w:t>。</w:t>
      </w:r>
    </w:p>
    <w:p w:rsidR="000733EA" w:rsidRPr="000733EA" w:rsidRDefault="000733EA" w:rsidP="000733EA">
      <w:pPr>
        <w:spacing w:after="0" w:line="540" w:lineRule="exact"/>
        <w:ind w:firstLineChars="200" w:firstLine="643"/>
        <w:rPr>
          <w:rFonts w:ascii="仿宋_GB2312" w:eastAsia="仿宋_GB2312"/>
          <w:b/>
          <w:sz w:val="32"/>
          <w:szCs w:val="32"/>
        </w:rPr>
      </w:pPr>
      <w:bookmarkStart w:id="12" w:name="_Toc184028965"/>
      <w:bookmarkStart w:id="13" w:name="_Toc327804252"/>
      <w:r w:rsidRPr="000733EA">
        <w:rPr>
          <w:rFonts w:ascii="仿宋_GB2312" w:eastAsia="仿宋_GB2312" w:hint="eastAsia"/>
          <w:b/>
          <w:sz w:val="32"/>
          <w:szCs w:val="32"/>
        </w:rPr>
        <w:t>4.定期</w:t>
      </w:r>
      <w:bookmarkEnd w:id="11"/>
      <w:r w:rsidRPr="000733EA">
        <w:rPr>
          <w:rFonts w:ascii="仿宋_GB2312" w:eastAsia="仿宋_GB2312" w:hint="eastAsia"/>
          <w:b/>
          <w:sz w:val="32"/>
          <w:szCs w:val="32"/>
        </w:rPr>
        <w:t>巡检</w:t>
      </w:r>
      <w:bookmarkEnd w:id="12"/>
      <w:bookmarkEnd w:id="13"/>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为了建立高效、完善的质量管理和保证体系，在技术服务的系统巡检过程中，制定系统巡检管理办法，用以在规范系统巡检项目的工作行为，使系统巡检的工作规范化和正规化。系统巡检规范能保证系统巡检过程按照科学合理的流程进行，让我院及早预知设备故障、及时排查潜在隐患、减少设备发生故障的概率，通过系统调整等手段，减少设备发生故障的概率，保证设备稳定、高效运行。提供现场健康检查服务，定期对系统设备的运行状况进行全面的健康检查，</w:t>
      </w:r>
      <w:r w:rsidRPr="000733EA">
        <w:rPr>
          <w:rFonts w:ascii="仿宋_GB2312" w:eastAsia="仿宋_GB2312" w:hint="eastAsia"/>
          <w:b/>
          <w:sz w:val="32"/>
          <w:szCs w:val="32"/>
        </w:rPr>
        <w:t>巡检次数为每月一次。</w:t>
      </w:r>
      <w:r w:rsidRPr="000733EA">
        <w:rPr>
          <w:rFonts w:ascii="仿宋_GB2312" w:eastAsia="仿宋_GB2312" w:hint="eastAsia"/>
          <w:sz w:val="32"/>
          <w:szCs w:val="32"/>
        </w:rPr>
        <w:t>具体内容如下：</w:t>
      </w:r>
    </w:p>
    <w:p w:rsidR="000733EA" w:rsidRPr="000733EA" w:rsidRDefault="000733EA" w:rsidP="000733EA">
      <w:pPr>
        <w:spacing w:after="0" w:line="540" w:lineRule="exact"/>
        <w:rPr>
          <w:rFonts w:ascii="仿宋_GB2312" w:eastAsia="仿宋_GB2312"/>
          <w:sz w:val="32"/>
          <w:szCs w:val="32"/>
        </w:rPr>
      </w:pPr>
      <w:r w:rsidRPr="000733EA">
        <w:rPr>
          <w:rFonts w:ascii="仿宋_GB2312" w:eastAsia="仿宋_GB2312" w:hint="eastAsia"/>
          <w:sz w:val="32"/>
          <w:szCs w:val="32"/>
        </w:rPr>
        <w:t>服务期提供设备现场巡检服务，按照我院维保系统预防性维护管理规程的相关要求，对我院设备进行细致全面的健康检查。检查的内容包括软件、硬件检查，电源、告警及设备运行环境的检查等，以及对现场进行环境评估与指导，</w:t>
      </w:r>
      <w:r w:rsidRPr="000733EA">
        <w:rPr>
          <w:rFonts w:ascii="仿宋_GB2312" w:eastAsia="仿宋_GB2312" w:hint="eastAsia"/>
          <w:sz w:val="32"/>
          <w:szCs w:val="32"/>
        </w:rPr>
        <w:lastRenderedPageBreak/>
        <w:t>并及时提供巡检报告。完成现场设备巡检后需配合我院工程师填写</w:t>
      </w:r>
      <w:bookmarkStart w:id="14" w:name="OLE_LINK2"/>
      <w:bookmarkStart w:id="15" w:name="OLE_LINK3"/>
      <w:r w:rsidRPr="000733EA">
        <w:rPr>
          <w:rFonts w:ascii="仿宋_GB2312" w:eastAsia="仿宋_GB2312" w:hint="eastAsia"/>
          <w:sz w:val="32"/>
          <w:szCs w:val="32"/>
        </w:rPr>
        <w:t>《设备巡检记录表》</w:t>
      </w:r>
      <w:bookmarkEnd w:id="14"/>
      <w:bookmarkEnd w:id="15"/>
      <w:r w:rsidRPr="000733EA">
        <w:rPr>
          <w:rFonts w:ascii="仿宋_GB2312" w:eastAsia="仿宋_GB2312" w:hint="eastAsia"/>
          <w:sz w:val="32"/>
          <w:szCs w:val="32"/>
        </w:rPr>
        <w:t>。</w:t>
      </w:r>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需为我院建立设备维修档案，并根据设备运行情况向我院提供设备升级、改造、更换的建议和方案。</w:t>
      </w:r>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除根据维护要求对系统进行维护外，维护人员每月对医院信息系统平台进行性能测试一次，并结合测试情况，修改不符合性能要求部分。</w:t>
      </w:r>
    </w:p>
    <w:p w:rsidR="000733EA" w:rsidRPr="000733EA" w:rsidRDefault="000733EA" w:rsidP="000733EA">
      <w:pPr>
        <w:spacing w:after="0" w:line="540" w:lineRule="exact"/>
        <w:ind w:firstLineChars="200" w:firstLine="640"/>
        <w:rPr>
          <w:rFonts w:ascii="仿宋_GB2312" w:eastAsia="仿宋_GB2312"/>
          <w:sz w:val="32"/>
          <w:szCs w:val="32"/>
        </w:rPr>
      </w:pPr>
      <w:bookmarkStart w:id="16" w:name="_Toc184028966"/>
      <w:bookmarkStart w:id="17" w:name="_Toc183833137"/>
      <w:r w:rsidRPr="000733EA">
        <w:rPr>
          <w:rFonts w:ascii="仿宋_GB2312" w:eastAsia="仿宋_GB2312" w:hint="eastAsia"/>
          <w:sz w:val="32"/>
          <w:szCs w:val="32"/>
        </w:rPr>
        <w:t>在信息中心的指导下，对本院网络系统进行定期的回访，解决院内网络系统中存在的问题。</w:t>
      </w:r>
      <w:bookmarkStart w:id="18" w:name="_Toc327804255"/>
      <w:bookmarkEnd w:id="16"/>
      <w:bookmarkEnd w:id="17"/>
    </w:p>
    <w:p w:rsidR="000733EA" w:rsidRPr="000733EA" w:rsidRDefault="000733EA" w:rsidP="000733EA">
      <w:pPr>
        <w:spacing w:after="0" w:line="540" w:lineRule="exact"/>
        <w:ind w:firstLineChars="250" w:firstLine="803"/>
        <w:rPr>
          <w:rFonts w:ascii="仿宋_GB2312" w:eastAsia="仿宋_GB2312"/>
          <w:b/>
          <w:sz w:val="32"/>
          <w:szCs w:val="32"/>
        </w:rPr>
      </w:pPr>
      <w:bookmarkStart w:id="19" w:name="_Toc478389455"/>
      <w:bookmarkStart w:id="20" w:name="_Toc501357817"/>
      <w:r w:rsidRPr="000733EA">
        <w:rPr>
          <w:rFonts w:ascii="仿宋_GB2312" w:eastAsia="仿宋_GB2312" w:hint="eastAsia"/>
          <w:b/>
          <w:sz w:val="32"/>
          <w:szCs w:val="32"/>
        </w:rPr>
        <w:t>5．应急</w:t>
      </w:r>
      <w:bookmarkEnd w:id="19"/>
      <w:r w:rsidRPr="000733EA">
        <w:rPr>
          <w:rFonts w:ascii="仿宋_GB2312" w:eastAsia="仿宋_GB2312" w:hint="eastAsia"/>
          <w:b/>
          <w:sz w:val="32"/>
          <w:szCs w:val="32"/>
        </w:rPr>
        <w:t>处置服务</w:t>
      </w:r>
      <w:bookmarkEnd w:id="20"/>
    </w:p>
    <w:p w:rsidR="000733EA" w:rsidRPr="000733EA" w:rsidRDefault="000733EA" w:rsidP="000733EA">
      <w:pPr>
        <w:spacing w:after="0" w:line="540" w:lineRule="exact"/>
        <w:ind w:firstLineChars="250" w:firstLine="800"/>
        <w:rPr>
          <w:rFonts w:ascii="仿宋_GB2312" w:eastAsia="仿宋_GB2312"/>
          <w:sz w:val="32"/>
          <w:szCs w:val="32"/>
        </w:rPr>
      </w:pPr>
      <w:r w:rsidRPr="000733EA">
        <w:rPr>
          <w:rFonts w:ascii="仿宋_GB2312" w:eastAsia="仿宋_GB2312" w:hint="eastAsia"/>
          <w:sz w:val="32"/>
          <w:szCs w:val="32"/>
        </w:rPr>
        <w:t>为了确保维护设备和系统发生故障或面对意外灾难时，相关服务能在最短时间内得以恢复以使正常的业务运营继续进行，保证用户端数据安全，将损失降低到最小限度，将协助我院制定应急方案。</w:t>
      </w:r>
    </w:p>
    <w:p w:rsidR="000733EA" w:rsidRPr="000733EA" w:rsidRDefault="000733EA" w:rsidP="000733EA">
      <w:pPr>
        <w:spacing w:after="0" w:line="540" w:lineRule="exact"/>
        <w:rPr>
          <w:rFonts w:ascii="仿宋_GB2312" w:eastAsia="仿宋_GB2312"/>
          <w:sz w:val="32"/>
          <w:szCs w:val="32"/>
        </w:rPr>
      </w:pPr>
      <w:r w:rsidRPr="000733EA">
        <w:rPr>
          <w:rFonts w:ascii="仿宋_GB2312" w:eastAsia="仿宋_GB2312" w:hint="eastAsia"/>
          <w:sz w:val="32"/>
          <w:szCs w:val="32"/>
        </w:rPr>
        <w:t>具体应急方案建议如下：</w:t>
      </w:r>
      <w:bookmarkStart w:id="21" w:name="_Toc401681943"/>
      <w:bookmarkStart w:id="22" w:name="_Toc501357818"/>
      <w:bookmarkStart w:id="23" w:name="_Toc320129776"/>
      <w:bookmarkStart w:id="24" w:name="_Toc359586419"/>
      <w:bookmarkStart w:id="25" w:name="_Toc275856667"/>
      <w:bookmarkStart w:id="26" w:name="_Toc248662349"/>
      <w:bookmarkStart w:id="27" w:name="_Toc205109037"/>
      <w:bookmarkStart w:id="28" w:name="_Toc164684070"/>
      <w:bookmarkStart w:id="29" w:name="_Toc246249947"/>
      <w:bookmarkStart w:id="30" w:name="_Toc142222797"/>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（1）应急预案体系架构原则</w:t>
      </w:r>
      <w:bookmarkEnd w:id="21"/>
      <w:bookmarkEnd w:id="22"/>
      <w:bookmarkEnd w:id="23"/>
      <w:bookmarkEnd w:id="24"/>
      <w:bookmarkEnd w:id="25"/>
      <w:bookmarkEnd w:id="26"/>
      <w:bookmarkEnd w:id="27"/>
      <w:bookmarkEnd w:id="28"/>
      <w:bookmarkEnd w:id="29"/>
      <w:bookmarkEnd w:id="30"/>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应急保障预案体系的建立，以强化安全意识，全面提高各相关部门应对突发事件的综合管理水平和应急处理能力，确保网络安全畅通，通信快速恢复为目的。</w:t>
      </w:r>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应急预案由服务方和我院共同编制，针对不同的故障级别将制定相应的应急预案。所编写的应急预案应具有实用性、可操作性，预案中各角色职责明确。</w:t>
      </w:r>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应急体系原则上每年更新一次，出现以下情况的须及时更新或新建立：</w:t>
      </w:r>
    </w:p>
    <w:p w:rsidR="000733EA" w:rsidRPr="000733EA" w:rsidRDefault="000733EA" w:rsidP="000733EA">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lastRenderedPageBreak/>
        <w:t>上一级主管部门职能、结构发生变动，影响到本部门应急预案实施。（包括联系人、联系方式变动、处理流程发生变化的）</w:t>
      </w:r>
    </w:p>
    <w:p w:rsidR="000733EA" w:rsidRPr="000733EA" w:rsidRDefault="000733EA" w:rsidP="000733EA">
      <w:pPr>
        <w:spacing w:after="0" w:line="540" w:lineRule="exact"/>
        <w:rPr>
          <w:rFonts w:ascii="仿宋_GB2312" w:eastAsia="仿宋_GB2312"/>
          <w:sz w:val="32"/>
          <w:szCs w:val="32"/>
        </w:rPr>
      </w:pPr>
      <w:r w:rsidRPr="000733EA">
        <w:rPr>
          <w:rFonts w:ascii="仿宋_GB2312" w:eastAsia="仿宋_GB2312" w:hint="eastAsia"/>
          <w:sz w:val="32"/>
          <w:szCs w:val="32"/>
        </w:rPr>
        <w:t xml:space="preserve"> </w:t>
      </w:r>
      <w:r>
        <w:rPr>
          <w:rFonts w:ascii="仿宋_GB2312" w:eastAsia="仿宋_GB2312" w:hint="eastAsia"/>
          <w:sz w:val="32"/>
          <w:szCs w:val="32"/>
        </w:rPr>
        <w:t xml:space="preserve">    </w:t>
      </w:r>
      <w:r w:rsidRPr="000733EA">
        <w:rPr>
          <w:rFonts w:ascii="仿宋_GB2312" w:eastAsia="仿宋_GB2312" w:hint="eastAsia"/>
          <w:sz w:val="32"/>
          <w:szCs w:val="32"/>
        </w:rPr>
        <w:t>本部门职能、结构发生变动，影响到本部门应急预案实施。（包括联系人、联系方式变动、处理流程发生变化的）</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有新的网络或业务正式投入使用，没有与之相符的应急预案与之相对应的。</w:t>
      </w:r>
      <w:bookmarkStart w:id="31" w:name="_Toc142222798"/>
      <w:bookmarkStart w:id="32" w:name="_Toc164684071"/>
      <w:bookmarkStart w:id="33" w:name="_Toc205109038"/>
      <w:bookmarkStart w:id="34" w:name="_Toc248662350"/>
      <w:bookmarkStart w:id="35" w:name="_Toc246249948"/>
      <w:bookmarkStart w:id="36" w:name="_Toc275856668"/>
      <w:bookmarkStart w:id="37" w:name="_Toc320129777"/>
      <w:bookmarkStart w:id="38" w:name="_Toc359586420"/>
      <w:bookmarkStart w:id="39" w:name="_Toc401681944"/>
      <w:bookmarkStart w:id="40" w:name="_Toc501357819"/>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（2）应急预案的内容</w:t>
      </w:r>
      <w:bookmarkEnd w:id="31"/>
      <w:bookmarkEnd w:id="32"/>
      <w:bookmarkEnd w:id="33"/>
      <w:bookmarkEnd w:id="34"/>
      <w:bookmarkEnd w:id="35"/>
      <w:bookmarkEnd w:id="36"/>
      <w:bookmarkEnd w:id="37"/>
      <w:bookmarkEnd w:id="38"/>
      <w:bookmarkEnd w:id="39"/>
      <w:bookmarkEnd w:id="40"/>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应急预案由服务方和我院共同编制，针对不同的故障级别将制定相应的应急预案。应急预案主要包括如下内容：</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1）应急预案的启动条件</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2）应急预案执行所需要的资源</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3）应急预案的操作流程</w:t>
      </w:r>
    </w:p>
    <w:p w:rsidR="000733EA" w:rsidRPr="000733EA" w:rsidRDefault="000733EA" w:rsidP="00971E62">
      <w:pPr>
        <w:spacing w:after="0" w:line="540" w:lineRule="exact"/>
        <w:ind w:firstLineChars="200" w:firstLine="640"/>
        <w:rPr>
          <w:rFonts w:ascii="仿宋_GB2312" w:eastAsia="仿宋_GB2312"/>
          <w:sz w:val="32"/>
          <w:szCs w:val="32"/>
        </w:rPr>
      </w:pPr>
      <w:bookmarkStart w:id="41" w:name="_Toc359586421"/>
      <w:bookmarkStart w:id="42" w:name="_Toc320129778"/>
      <w:bookmarkStart w:id="43" w:name="_Toc401681945"/>
      <w:bookmarkStart w:id="44" w:name="_Toc501357820"/>
      <w:r w:rsidRPr="000733EA">
        <w:rPr>
          <w:rFonts w:ascii="仿宋_GB2312" w:eastAsia="仿宋_GB2312" w:hint="eastAsia"/>
          <w:sz w:val="32"/>
          <w:szCs w:val="32"/>
        </w:rPr>
        <w:t>（3）应急小组人员安排</w:t>
      </w:r>
      <w:bookmarkEnd w:id="41"/>
      <w:bookmarkEnd w:id="42"/>
      <w:bookmarkEnd w:id="43"/>
      <w:bookmarkEnd w:id="44"/>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为了保证在故障发生时能够得到快速、有序地处理，事先要与用户、厂商等商量建立起项目应急处理工作小组，小组成员包括相关各方主管领导、项目经理、接口人、技术专家组成。</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主管领导：帮助组织、进行指导，协调资源；</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项目经理：协调各方资源，组织进行故障排除；</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接口人：在故障发生时保持与各方联系，帮助进行协调处理，可以由项目经理或驻场工程师担任。</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技术专家：由项目相关各产品责任技术专家组成，负责处理项目中产品发生的故障。</w:t>
      </w:r>
    </w:p>
    <w:bookmarkEnd w:id="3"/>
    <w:bookmarkEnd w:id="18"/>
    <w:p w:rsidR="000733EA" w:rsidRPr="00971E62" w:rsidRDefault="000733EA" w:rsidP="00971E62">
      <w:pPr>
        <w:spacing w:after="0" w:line="540" w:lineRule="exact"/>
        <w:ind w:firstLineChars="200" w:firstLine="643"/>
        <w:rPr>
          <w:rFonts w:ascii="仿宋_GB2312" w:eastAsia="仿宋_GB2312"/>
          <w:b/>
          <w:sz w:val="32"/>
          <w:szCs w:val="32"/>
        </w:rPr>
      </w:pPr>
      <w:r w:rsidRPr="00971E62">
        <w:rPr>
          <w:rFonts w:ascii="仿宋_GB2312" w:eastAsia="仿宋_GB2312" w:hint="eastAsia"/>
          <w:b/>
          <w:sz w:val="32"/>
          <w:szCs w:val="32"/>
        </w:rPr>
        <w:lastRenderedPageBreak/>
        <w:t>6.保障体系及响应要求</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（1）7×24小时畅通的申报热线</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提供全年365天7×24小时的热线支持，保证院方在需要帮助无论何时都能方便快捷的得到专业工程师的响应和支持，遇紧急故障，提供技术专家2小时到达现场支持服务。</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（2）人员的培训</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对于我院，服务方将提供适当的现场培训，以提高现场管理员的技术水平，并对机房设备的操作规范提出我方的建议，规避不正确的操作可能造成的严重后果。</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（3）专家支持</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对于我院系统调整等重大事件，服务方将积极配合给予支持，并在需要的时候安排专家对相应方案给出评审意见，以保障我院变更的顺利实施。</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（4）升级原厂</w:t>
      </w:r>
    </w:p>
    <w:p w:rsidR="000733EA" w:rsidRPr="000733EA" w:rsidRDefault="00971E62" w:rsidP="00971E62">
      <w:pPr>
        <w:spacing w:after="0" w:line="540" w:lineRule="exact"/>
        <w:ind w:firstLineChars="200" w:firstLine="640"/>
        <w:rPr>
          <w:rFonts w:ascii="仿宋_GB2312" w:eastAsia="仿宋_GB2312"/>
          <w:sz w:val="32"/>
          <w:szCs w:val="32"/>
        </w:rPr>
      </w:pPr>
      <w:r>
        <w:rPr>
          <w:rFonts w:ascii="仿宋_GB2312" w:eastAsia="仿宋_GB2312" w:hint="eastAsia"/>
          <w:sz w:val="32"/>
          <w:szCs w:val="32"/>
        </w:rPr>
        <w:t>有</w:t>
      </w:r>
      <w:r w:rsidR="000733EA" w:rsidRPr="000733EA">
        <w:rPr>
          <w:rFonts w:ascii="仿宋_GB2312" w:eastAsia="仿宋_GB2312" w:hint="eastAsia"/>
          <w:sz w:val="32"/>
          <w:szCs w:val="32"/>
        </w:rPr>
        <w:t>IBM、HP、</w:t>
      </w:r>
      <w:r>
        <w:rPr>
          <w:rFonts w:ascii="仿宋_GB2312" w:eastAsia="仿宋_GB2312" w:hint="eastAsia"/>
          <w:sz w:val="32"/>
          <w:szCs w:val="32"/>
        </w:rPr>
        <w:t>华为、</w:t>
      </w:r>
      <w:r w:rsidR="000733EA" w:rsidRPr="000733EA">
        <w:rPr>
          <w:rFonts w:ascii="仿宋_GB2312" w:eastAsia="仿宋_GB2312" w:hint="eastAsia"/>
          <w:sz w:val="32"/>
          <w:szCs w:val="32"/>
        </w:rPr>
        <w:t>Oracle、EMC、H3C、迪普等原厂合作经验，</w:t>
      </w:r>
      <w:r>
        <w:rPr>
          <w:rFonts w:ascii="仿宋_GB2312" w:eastAsia="仿宋_GB2312" w:hint="eastAsia"/>
          <w:sz w:val="32"/>
          <w:szCs w:val="32"/>
        </w:rPr>
        <w:t>可在</w:t>
      </w:r>
      <w:r w:rsidRPr="000733EA">
        <w:rPr>
          <w:rFonts w:ascii="仿宋_GB2312" w:eastAsia="仿宋_GB2312" w:hint="eastAsia"/>
          <w:sz w:val="32"/>
          <w:szCs w:val="32"/>
        </w:rPr>
        <w:t>处理我院故障问题的时候</w:t>
      </w:r>
      <w:r>
        <w:rPr>
          <w:rFonts w:ascii="仿宋_GB2312" w:eastAsia="仿宋_GB2312" w:hint="eastAsia"/>
          <w:sz w:val="32"/>
          <w:szCs w:val="32"/>
        </w:rPr>
        <w:t>获得原厂</w:t>
      </w:r>
      <w:r w:rsidR="000733EA" w:rsidRPr="000733EA">
        <w:rPr>
          <w:rFonts w:ascii="仿宋_GB2312" w:eastAsia="仿宋_GB2312" w:hint="eastAsia"/>
          <w:sz w:val="32"/>
          <w:szCs w:val="32"/>
        </w:rPr>
        <w:t>技术支持</w:t>
      </w:r>
      <w:r>
        <w:rPr>
          <w:rFonts w:ascii="仿宋_GB2312" w:eastAsia="仿宋_GB2312" w:hint="eastAsia"/>
          <w:sz w:val="32"/>
          <w:szCs w:val="32"/>
        </w:rPr>
        <w:t>。</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（5）问题报告</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在每个事件（每次服务）处理之后给我院提供《事件问题处理报告》，每季度结束后的5个工作日内，向我院提供《季度服务总结》及《季度服务清单》，以便我院全面准确的了解维保服务实施情况。</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《季度服务总结》内容包括但不限于:</w:t>
      </w:r>
    </w:p>
    <w:p w:rsidR="000733EA" w:rsidRPr="000733EA" w:rsidRDefault="00971E62" w:rsidP="000F4FED">
      <w:pPr>
        <w:spacing w:after="0" w:line="540" w:lineRule="exact"/>
        <w:ind w:firstLineChars="200" w:firstLine="643"/>
        <w:rPr>
          <w:rFonts w:ascii="仿宋_GB2312" w:eastAsia="仿宋_GB2312"/>
          <w:sz w:val="32"/>
          <w:szCs w:val="32"/>
        </w:rPr>
      </w:pPr>
      <w:r w:rsidRPr="000F4FED">
        <w:rPr>
          <w:rFonts w:ascii="仿宋_GB2312" w:eastAsia="仿宋_GB2312" w:hint="eastAsia"/>
          <w:b/>
          <w:sz w:val="32"/>
          <w:szCs w:val="32"/>
        </w:rPr>
        <w:lastRenderedPageBreak/>
        <w:t>a.</w:t>
      </w:r>
      <w:r w:rsidR="000733EA" w:rsidRPr="000F4FED">
        <w:rPr>
          <w:rFonts w:ascii="仿宋_GB2312" w:eastAsia="仿宋_GB2312" w:hint="eastAsia"/>
          <w:b/>
          <w:sz w:val="32"/>
          <w:szCs w:val="32"/>
        </w:rPr>
        <w:t>服务情况的总结:</w:t>
      </w:r>
      <w:r w:rsidR="000733EA" w:rsidRPr="000733EA">
        <w:rPr>
          <w:rFonts w:ascii="仿宋_GB2312" w:eastAsia="仿宋_GB2312" w:hint="eastAsia"/>
          <w:sz w:val="32"/>
          <w:szCs w:val="32"/>
        </w:rPr>
        <w:t>对上个季度的设备整体运行情况进行总结，评估每次巡检的效果；总结分析遗留问题处理情况；</w:t>
      </w:r>
    </w:p>
    <w:p w:rsidR="000733EA" w:rsidRPr="000733EA" w:rsidRDefault="00971E62" w:rsidP="000F4FED">
      <w:pPr>
        <w:spacing w:after="0" w:line="540" w:lineRule="exact"/>
        <w:ind w:firstLineChars="200" w:firstLine="643"/>
        <w:rPr>
          <w:rFonts w:ascii="仿宋_GB2312" w:eastAsia="仿宋_GB2312"/>
          <w:sz w:val="32"/>
          <w:szCs w:val="32"/>
        </w:rPr>
      </w:pPr>
      <w:r w:rsidRPr="000F4FED">
        <w:rPr>
          <w:rFonts w:ascii="仿宋_GB2312" w:eastAsia="仿宋_GB2312" w:hint="eastAsia"/>
          <w:b/>
          <w:sz w:val="32"/>
          <w:szCs w:val="32"/>
        </w:rPr>
        <w:t>b.</w:t>
      </w:r>
      <w:r w:rsidR="000733EA" w:rsidRPr="000F4FED">
        <w:rPr>
          <w:rFonts w:ascii="仿宋_GB2312" w:eastAsia="仿宋_GB2312" w:hint="eastAsia"/>
          <w:b/>
          <w:sz w:val="32"/>
          <w:szCs w:val="32"/>
        </w:rPr>
        <w:t>故障分析报告:</w:t>
      </w:r>
      <w:r w:rsidR="000733EA" w:rsidRPr="000733EA">
        <w:rPr>
          <w:rFonts w:ascii="仿宋_GB2312" w:eastAsia="仿宋_GB2312" w:hint="eastAsia"/>
          <w:sz w:val="32"/>
          <w:szCs w:val="32"/>
        </w:rPr>
        <w:t>对故障的发生原因、处理过程和处理结果进行详细说明，并给出预防该类故障再次发生的建议；</w:t>
      </w:r>
    </w:p>
    <w:p w:rsidR="000733EA" w:rsidRPr="000733EA" w:rsidRDefault="000733EA" w:rsidP="000733EA">
      <w:pPr>
        <w:spacing w:after="0" w:line="540" w:lineRule="exact"/>
        <w:rPr>
          <w:rFonts w:ascii="仿宋_GB2312" w:eastAsia="仿宋_GB2312"/>
          <w:sz w:val="32"/>
          <w:szCs w:val="32"/>
        </w:rPr>
      </w:pPr>
      <w:r w:rsidRPr="000733EA">
        <w:rPr>
          <w:rFonts w:ascii="仿宋_GB2312" w:eastAsia="仿宋_GB2312" w:hint="eastAsia"/>
          <w:sz w:val="32"/>
          <w:szCs w:val="32"/>
        </w:rPr>
        <w:t>故障概率、趋势分析；</w:t>
      </w:r>
    </w:p>
    <w:p w:rsidR="000733EA" w:rsidRPr="000733EA" w:rsidRDefault="00971E62" w:rsidP="000F4FED">
      <w:pPr>
        <w:spacing w:after="0" w:line="540" w:lineRule="exact"/>
        <w:ind w:firstLineChars="200" w:firstLine="643"/>
        <w:rPr>
          <w:rFonts w:ascii="仿宋_GB2312" w:eastAsia="仿宋_GB2312"/>
          <w:sz w:val="32"/>
          <w:szCs w:val="32"/>
        </w:rPr>
      </w:pPr>
      <w:r w:rsidRPr="000F4FED">
        <w:rPr>
          <w:rFonts w:ascii="仿宋_GB2312" w:eastAsia="仿宋_GB2312" w:hint="eastAsia"/>
          <w:b/>
          <w:sz w:val="32"/>
          <w:szCs w:val="32"/>
        </w:rPr>
        <w:t>c.</w:t>
      </w:r>
      <w:r w:rsidR="000733EA" w:rsidRPr="000F4FED">
        <w:rPr>
          <w:rFonts w:ascii="仿宋_GB2312" w:eastAsia="仿宋_GB2312" w:hint="eastAsia"/>
          <w:b/>
          <w:sz w:val="32"/>
          <w:szCs w:val="32"/>
        </w:rPr>
        <w:t>计划执行分析:</w:t>
      </w:r>
      <w:r w:rsidR="000733EA" w:rsidRPr="000733EA">
        <w:rPr>
          <w:rFonts w:ascii="仿宋_GB2312" w:eastAsia="仿宋_GB2312" w:hint="eastAsia"/>
          <w:sz w:val="32"/>
          <w:szCs w:val="32"/>
        </w:rPr>
        <w:t>分析技术支持服务实施计划的执行情况，对计划未执行项或未按时执行项进行原因分析。对出现服务质量问题及不符合合同约定的情况需提出分析报告和整改措施；</w:t>
      </w:r>
    </w:p>
    <w:p w:rsidR="000733EA" w:rsidRPr="000733EA" w:rsidRDefault="00971E62" w:rsidP="000F4FED">
      <w:pPr>
        <w:spacing w:after="0" w:line="540" w:lineRule="exact"/>
        <w:ind w:firstLineChars="200" w:firstLine="643"/>
        <w:rPr>
          <w:rFonts w:ascii="仿宋_GB2312" w:eastAsia="仿宋_GB2312"/>
          <w:sz w:val="32"/>
          <w:szCs w:val="32"/>
        </w:rPr>
      </w:pPr>
      <w:r w:rsidRPr="000F4FED">
        <w:rPr>
          <w:rFonts w:ascii="仿宋_GB2312" w:eastAsia="仿宋_GB2312" w:hint="eastAsia"/>
          <w:b/>
          <w:sz w:val="32"/>
          <w:szCs w:val="32"/>
        </w:rPr>
        <w:t>d.</w:t>
      </w:r>
      <w:r w:rsidR="000733EA" w:rsidRPr="000F4FED">
        <w:rPr>
          <w:rFonts w:ascii="仿宋_GB2312" w:eastAsia="仿宋_GB2312" w:hint="eastAsia"/>
          <w:b/>
          <w:sz w:val="32"/>
          <w:szCs w:val="32"/>
        </w:rPr>
        <w:t>问题分析:</w:t>
      </w:r>
      <w:r w:rsidR="000733EA" w:rsidRPr="000733EA">
        <w:rPr>
          <w:rFonts w:ascii="仿宋_GB2312" w:eastAsia="仿宋_GB2312" w:hint="eastAsia"/>
          <w:sz w:val="32"/>
          <w:szCs w:val="32"/>
        </w:rPr>
        <w:t>对巡检过程中出现的未曾预见的问题，及时分析总结并给出解决建议。</w:t>
      </w:r>
    </w:p>
    <w:p w:rsidR="000733EA" w:rsidRPr="000733EA" w:rsidRDefault="000733EA" w:rsidP="00971E62">
      <w:pPr>
        <w:spacing w:after="0" w:line="540" w:lineRule="exact"/>
        <w:ind w:firstLineChars="200" w:firstLine="640"/>
        <w:rPr>
          <w:rFonts w:ascii="仿宋_GB2312" w:eastAsia="仿宋_GB2312"/>
          <w:sz w:val="32"/>
          <w:szCs w:val="32"/>
        </w:rPr>
      </w:pPr>
      <w:r w:rsidRPr="000733EA">
        <w:rPr>
          <w:rFonts w:ascii="仿宋_GB2312" w:eastAsia="仿宋_GB2312" w:hint="eastAsia"/>
          <w:sz w:val="32"/>
          <w:szCs w:val="32"/>
        </w:rPr>
        <w:t>《季度服务清单》内容包括但不限于:每次服务的日期、故障设备名称及序列号、故障描述、故障状态、处理过程、处理结果、备件名称及序列号、确认人、联系方法等。</w:t>
      </w:r>
    </w:p>
    <w:p w:rsidR="000733EA" w:rsidRPr="0014129E" w:rsidRDefault="000733EA" w:rsidP="0014129E">
      <w:pPr>
        <w:spacing w:after="0" w:line="540" w:lineRule="exact"/>
        <w:ind w:firstLineChars="200" w:firstLine="640"/>
        <w:rPr>
          <w:rFonts w:ascii="仿宋_GB2312" w:eastAsia="仿宋_GB2312"/>
          <w:sz w:val="32"/>
          <w:szCs w:val="32"/>
        </w:rPr>
      </w:pPr>
    </w:p>
    <w:sectPr w:rsidR="000733EA" w:rsidRPr="0014129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1FF" w:rsidRDefault="00CA41FF" w:rsidP="00EB2F24">
      <w:pPr>
        <w:spacing w:after="0"/>
      </w:pPr>
      <w:r>
        <w:separator/>
      </w:r>
    </w:p>
  </w:endnote>
  <w:endnote w:type="continuationSeparator" w:id="0">
    <w:p w:rsidR="00CA41FF" w:rsidRDefault="00CA41FF" w:rsidP="00EB2F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1FF" w:rsidRDefault="00CA41FF" w:rsidP="00EB2F24">
      <w:pPr>
        <w:spacing w:after="0"/>
      </w:pPr>
      <w:r>
        <w:separator/>
      </w:r>
    </w:p>
  </w:footnote>
  <w:footnote w:type="continuationSeparator" w:id="0">
    <w:p w:rsidR="00CA41FF" w:rsidRDefault="00CA41FF" w:rsidP="00EB2F2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EB9"/>
    <w:multiLevelType w:val="multilevel"/>
    <w:tmpl w:val="8B4ED2F0"/>
    <w:lvl w:ilvl="0">
      <w:start w:val="1"/>
      <w:numFmt w:val="bullet"/>
      <w:lvlText w:val=""/>
      <w:lvlJc w:val="left"/>
      <w:pPr>
        <w:tabs>
          <w:tab w:val="num" w:pos="871"/>
        </w:tabs>
        <w:ind w:left="871" w:hanging="420"/>
      </w:pPr>
      <w:rPr>
        <w:rFonts w:ascii="Wingdings" w:hAnsi="Wingdings" w:hint="default"/>
      </w:rPr>
    </w:lvl>
    <w:lvl w:ilvl="1">
      <w:start w:val="1"/>
      <w:numFmt w:val="decimal"/>
      <w:isLgl/>
      <w:lvlText w:val="%1.%2"/>
      <w:lvlJc w:val="left"/>
      <w:pPr>
        <w:ind w:left="1171" w:hanging="720"/>
      </w:pPr>
      <w:rPr>
        <w:rFonts w:hint="default"/>
      </w:rPr>
    </w:lvl>
    <w:lvl w:ilvl="2">
      <w:start w:val="1"/>
      <w:numFmt w:val="decimal"/>
      <w:isLgl/>
      <w:lvlText w:val="%1.%2.%3"/>
      <w:lvlJc w:val="left"/>
      <w:pPr>
        <w:ind w:left="1171" w:hanging="720"/>
      </w:pPr>
      <w:rPr>
        <w:rFonts w:hint="default"/>
      </w:rPr>
    </w:lvl>
    <w:lvl w:ilvl="3">
      <w:start w:val="1"/>
      <w:numFmt w:val="decimal"/>
      <w:isLgl/>
      <w:lvlText w:val="%1.%2.%3.%4"/>
      <w:lvlJc w:val="left"/>
      <w:pPr>
        <w:ind w:left="1531" w:hanging="1080"/>
      </w:pPr>
      <w:rPr>
        <w:rFonts w:hint="default"/>
      </w:rPr>
    </w:lvl>
    <w:lvl w:ilvl="4">
      <w:start w:val="1"/>
      <w:numFmt w:val="decimal"/>
      <w:isLgl/>
      <w:lvlText w:val="%1.%2.%3.%4.%5"/>
      <w:lvlJc w:val="left"/>
      <w:pPr>
        <w:ind w:left="1891" w:hanging="1440"/>
      </w:pPr>
      <w:rPr>
        <w:rFonts w:hint="default"/>
      </w:rPr>
    </w:lvl>
    <w:lvl w:ilvl="5">
      <w:start w:val="1"/>
      <w:numFmt w:val="decimal"/>
      <w:isLgl/>
      <w:lvlText w:val="%1.%2.%3.%4.%5.%6"/>
      <w:lvlJc w:val="left"/>
      <w:pPr>
        <w:ind w:left="2251" w:hanging="1800"/>
      </w:pPr>
      <w:rPr>
        <w:rFonts w:hint="default"/>
      </w:rPr>
    </w:lvl>
    <w:lvl w:ilvl="6">
      <w:start w:val="1"/>
      <w:numFmt w:val="decimal"/>
      <w:isLgl/>
      <w:lvlText w:val="%1.%2.%3.%4.%5.%6.%7"/>
      <w:lvlJc w:val="left"/>
      <w:pPr>
        <w:ind w:left="2611" w:hanging="2160"/>
      </w:pPr>
      <w:rPr>
        <w:rFonts w:hint="default"/>
      </w:rPr>
    </w:lvl>
    <w:lvl w:ilvl="7">
      <w:start w:val="1"/>
      <w:numFmt w:val="decimal"/>
      <w:isLgl/>
      <w:lvlText w:val="%1.%2.%3.%4.%5.%6.%7.%8"/>
      <w:lvlJc w:val="left"/>
      <w:pPr>
        <w:ind w:left="2611" w:hanging="2160"/>
      </w:pPr>
      <w:rPr>
        <w:rFonts w:hint="default"/>
      </w:rPr>
    </w:lvl>
    <w:lvl w:ilvl="8">
      <w:start w:val="1"/>
      <w:numFmt w:val="decimal"/>
      <w:isLgl/>
      <w:lvlText w:val="%1.%2.%3.%4.%5.%6.%7.%8.%9"/>
      <w:lvlJc w:val="left"/>
      <w:pPr>
        <w:ind w:left="2971" w:hanging="2520"/>
      </w:pPr>
      <w:rPr>
        <w:rFonts w:hint="default"/>
      </w:rPr>
    </w:lvl>
  </w:abstractNum>
  <w:abstractNum w:abstractNumId="1">
    <w:nsid w:val="2ECA2E08"/>
    <w:multiLevelType w:val="multilevel"/>
    <w:tmpl w:val="2ECA2E0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nsid w:val="35065D98"/>
    <w:multiLevelType w:val="multilevel"/>
    <w:tmpl w:val="35065D98"/>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nsid w:val="394C5808"/>
    <w:multiLevelType w:val="multilevel"/>
    <w:tmpl w:val="394C580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61460FC9"/>
    <w:multiLevelType w:val="multilevel"/>
    <w:tmpl w:val="61460FC9"/>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701948C8"/>
    <w:multiLevelType w:val="hybridMultilevel"/>
    <w:tmpl w:val="5A909D36"/>
    <w:lvl w:ilvl="0" w:tplc="828467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733EA"/>
    <w:rsid w:val="000F4FED"/>
    <w:rsid w:val="0014129E"/>
    <w:rsid w:val="002823FD"/>
    <w:rsid w:val="00323B43"/>
    <w:rsid w:val="00333E7C"/>
    <w:rsid w:val="003D37D8"/>
    <w:rsid w:val="00426133"/>
    <w:rsid w:val="004358AB"/>
    <w:rsid w:val="00553D9B"/>
    <w:rsid w:val="008A7E85"/>
    <w:rsid w:val="008B7726"/>
    <w:rsid w:val="009528AC"/>
    <w:rsid w:val="00971E62"/>
    <w:rsid w:val="00B127F8"/>
    <w:rsid w:val="00C62CE1"/>
    <w:rsid w:val="00CA41FF"/>
    <w:rsid w:val="00D31D50"/>
    <w:rsid w:val="00DB5FDD"/>
    <w:rsid w:val="00EB2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F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B2F24"/>
    <w:rPr>
      <w:rFonts w:ascii="Tahoma" w:hAnsi="Tahoma"/>
      <w:sz w:val="18"/>
      <w:szCs w:val="18"/>
    </w:rPr>
  </w:style>
  <w:style w:type="paragraph" w:styleId="a4">
    <w:name w:val="footer"/>
    <w:basedOn w:val="a"/>
    <w:link w:val="Char0"/>
    <w:uiPriority w:val="99"/>
    <w:semiHidden/>
    <w:unhideWhenUsed/>
    <w:rsid w:val="00EB2F24"/>
    <w:pPr>
      <w:tabs>
        <w:tab w:val="center" w:pos="4153"/>
        <w:tab w:val="right" w:pos="8306"/>
      </w:tabs>
    </w:pPr>
    <w:rPr>
      <w:sz w:val="18"/>
      <w:szCs w:val="18"/>
    </w:rPr>
  </w:style>
  <w:style w:type="character" w:customStyle="1" w:styleId="Char0">
    <w:name w:val="页脚 Char"/>
    <w:basedOn w:val="a0"/>
    <w:link w:val="a4"/>
    <w:uiPriority w:val="99"/>
    <w:semiHidden/>
    <w:rsid w:val="00EB2F24"/>
    <w:rPr>
      <w:rFonts w:ascii="Tahoma" w:hAnsi="Tahoma"/>
      <w:sz w:val="18"/>
      <w:szCs w:val="18"/>
    </w:rPr>
  </w:style>
  <w:style w:type="paragraph" w:styleId="a5">
    <w:name w:val="List Paragraph"/>
    <w:basedOn w:val="a"/>
    <w:uiPriority w:val="34"/>
    <w:qFormat/>
    <w:rsid w:val="00EB2F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2020-05-08T02:09:00Z</cp:lastPrinted>
  <dcterms:created xsi:type="dcterms:W3CDTF">2008-09-11T17:20:00Z</dcterms:created>
  <dcterms:modified xsi:type="dcterms:W3CDTF">2020-05-08T02:13:00Z</dcterms:modified>
</cp:coreProperties>
</file>