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firstLine="470" w:firstLineChars="196"/>
        <w:jc w:val="center"/>
        <w:rPr>
          <w:rFonts w:ascii="宋体" w:hAnsi="宋体"/>
          <w:color w:val="000000"/>
          <w:sz w:val="24"/>
          <w:szCs w:val="24"/>
        </w:rPr>
      </w:pPr>
      <w:r>
        <w:rPr>
          <w:rFonts w:hint="eastAsia" w:ascii="宋体" w:hAnsi="宋体"/>
          <w:color w:val="000000"/>
          <w:sz w:val="24"/>
          <w:szCs w:val="24"/>
        </w:rPr>
        <w:t>采购需求说明</w:t>
      </w:r>
    </w:p>
    <w:p>
      <w:pPr>
        <w:pStyle w:val="6"/>
        <w:spacing w:after="200" w:line="276" w:lineRule="auto"/>
        <w:ind w:firstLine="480" w:firstLineChars="200"/>
        <w:jc w:val="left"/>
        <w:rPr>
          <w:rFonts w:ascii="宋体" w:hAnsi="宋体" w:eastAsia="宋体"/>
          <w:sz w:val="24"/>
          <w:szCs w:val="24"/>
        </w:rPr>
      </w:pPr>
      <w:r>
        <w:rPr>
          <w:rFonts w:hint="eastAsia" w:ascii="宋体" w:hAnsi="宋体"/>
          <w:sz w:val="24"/>
          <w:szCs w:val="24"/>
        </w:rPr>
        <w:t>*</w:t>
      </w:r>
      <w:r>
        <w:rPr>
          <w:rFonts w:hint="eastAsia" w:ascii="宋体" w:hAnsi="宋体" w:eastAsia="宋体"/>
          <w:sz w:val="24"/>
          <w:szCs w:val="24"/>
        </w:rPr>
        <w:t>1、采购需求一览表中序号1、2项产品提供产品授权（投标人为某项产品生产商的，不需要提供该产品授权）。投标人须承诺中标后将产品授权提交至采购人查验，若无法提供则以虚假应标报送相关部门处理。</w:t>
      </w:r>
    </w:p>
    <w:p>
      <w:pPr>
        <w:pStyle w:val="6"/>
        <w:spacing w:after="200" w:line="276" w:lineRule="auto"/>
        <w:ind w:firstLine="480" w:firstLineChars="200"/>
        <w:rPr>
          <w:rFonts w:ascii="宋体" w:hAnsi="宋体" w:eastAsia="宋体"/>
          <w:sz w:val="24"/>
          <w:szCs w:val="24"/>
        </w:rPr>
      </w:pPr>
      <w:r>
        <w:rPr>
          <w:rFonts w:hint="eastAsia" w:ascii="宋体" w:hAnsi="宋体" w:eastAsia="宋体"/>
          <w:sz w:val="24"/>
          <w:szCs w:val="24"/>
        </w:rPr>
        <w:t>*2、投标文件中提供加盖投标单位公章的承诺函，承诺所投试剂必须与三院在用的贝克曼库尔特Dxflex流式细胞仪配套使用。</w:t>
      </w:r>
    </w:p>
    <w:p>
      <w:pPr>
        <w:pStyle w:val="6"/>
        <w:spacing w:after="200" w:line="276" w:lineRule="auto"/>
        <w:ind w:firstLine="480" w:firstLineChars="200"/>
        <w:rPr>
          <w:rFonts w:ascii="宋体" w:hAnsi="宋体" w:eastAsia="宋体"/>
          <w:sz w:val="24"/>
          <w:szCs w:val="24"/>
        </w:rPr>
      </w:pPr>
      <w:r>
        <w:rPr>
          <w:rFonts w:hint="eastAsia" w:ascii="宋体" w:hAnsi="宋体" w:eastAsia="宋体"/>
          <w:sz w:val="24"/>
          <w:szCs w:val="24"/>
        </w:rPr>
        <w:t>*3、提供承诺函，承诺在试剂使用期内提供相关设备免费维保服务。</w:t>
      </w:r>
    </w:p>
    <w:p>
      <w:pPr>
        <w:pStyle w:val="6"/>
        <w:spacing w:after="200" w:line="276" w:lineRule="auto"/>
        <w:ind w:firstLine="480" w:firstLineChars="200"/>
        <w:rPr>
          <w:rFonts w:ascii="宋体" w:hAnsi="宋体" w:eastAsia="宋体"/>
          <w:sz w:val="24"/>
          <w:szCs w:val="24"/>
        </w:rPr>
      </w:pPr>
      <w:r>
        <w:rPr>
          <w:rFonts w:hint="eastAsia" w:ascii="宋体" w:hAnsi="宋体" w:eastAsia="宋体"/>
          <w:sz w:val="24"/>
          <w:szCs w:val="24"/>
        </w:rPr>
        <w:t>4、中标单位需免费提供中标产品供检验科进行性能测试，如不能通过则取消中标品种。</w:t>
      </w:r>
    </w:p>
    <w:p>
      <w:pPr>
        <w:pStyle w:val="6"/>
        <w:spacing w:after="200" w:line="276" w:lineRule="auto"/>
        <w:ind w:firstLine="480" w:firstLineChars="200"/>
        <w:rPr>
          <w:rFonts w:ascii="宋体" w:hAnsi="宋体"/>
          <w:color w:val="000000"/>
          <w:sz w:val="24"/>
          <w:szCs w:val="24"/>
        </w:rPr>
      </w:pPr>
      <w:r>
        <w:rPr>
          <w:rFonts w:hint="eastAsia" w:ascii="宋体" w:hAnsi="宋体" w:eastAsia="宋体"/>
          <w:sz w:val="24"/>
          <w:szCs w:val="24"/>
        </w:rPr>
        <w:t>5、本包采购数量为暂定数量，结算时以实际验收合格的数量，根据中标单价按实结算。</w:t>
      </w:r>
      <w:bookmarkStart w:id="0" w:name="_Hlk49932600"/>
      <w:r>
        <w:rPr>
          <w:rFonts w:hint="eastAsia" w:ascii="宋体" w:hAnsi="宋体"/>
          <w:kern w:val="0"/>
          <w:sz w:val="24"/>
          <w:szCs w:val="24"/>
        </w:rPr>
        <w:t>结算时单价不予调整。</w:t>
      </w:r>
      <w:bookmarkEnd w:id="0"/>
    </w:p>
    <w:p>
      <w:pPr>
        <w:ind w:firstLine="480" w:firstLineChars="200"/>
        <w:rPr>
          <w:rFonts w:ascii="宋体" w:hAnsi="宋体"/>
          <w:color w:val="0D0D0D"/>
          <w:sz w:val="24"/>
          <w:szCs w:val="24"/>
        </w:rPr>
      </w:pPr>
      <w:r>
        <w:rPr>
          <w:rFonts w:hint="eastAsia" w:ascii="宋体" w:hAnsi="宋体" w:cs="宋体"/>
          <w:sz w:val="24"/>
          <w:szCs w:val="24"/>
        </w:rPr>
        <w:t>6、本项目招标控制价</w:t>
      </w:r>
      <w:r>
        <w:rPr>
          <w:rFonts w:hint="eastAsia" w:ascii="宋体" w:hAnsi="宋体" w:cs="宋体"/>
          <w:color w:val="000000" w:themeColor="text1"/>
          <w:sz w:val="24"/>
          <w:szCs w:val="24"/>
          <w14:textFill>
            <w14:solidFill>
              <w14:schemeClr w14:val="tx1"/>
            </w14:solidFill>
          </w14:textFill>
        </w:rPr>
        <w:t>为9.8</w:t>
      </w:r>
      <w:r>
        <w:rPr>
          <w:rFonts w:hint="eastAsia" w:ascii="宋体" w:hAnsi="宋体" w:cs="宋体"/>
          <w:sz w:val="24"/>
          <w:szCs w:val="24"/>
        </w:rPr>
        <w:t>万元/年，本次采购需求一览表中采购数量为一年期估计用量，具体采购数量由采购人按计划分批次进行采购，</w:t>
      </w:r>
      <w:r>
        <w:rPr>
          <w:rFonts w:hint="eastAsia" w:ascii="宋体" w:hAnsi="宋体" w:cs="宋体"/>
          <w:b/>
          <w:bCs/>
          <w:sz w:val="24"/>
          <w:szCs w:val="24"/>
        </w:rPr>
        <w:t>按需分批采购；供货期≤3个日历天；具有24小时应急服务，特殊情况下需2小时送达。</w:t>
      </w:r>
      <w:r>
        <w:rPr>
          <w:rFonts w:hint="eastAsia" w:ascii="宋体" w:hAnsi="宋体" w:cs="宋体"/>
          <w:sz w:val="24"/>
          <w:szCs w:val="24"/>
        </w:rPr>
        <w:t>采购人有权按实际需要调整采购量，但原则上，年采购数量不超过采购数量。本次采购服务</w:t>
      </w:r>
      <w:r>
        <w:rPr>
          <w:rFonts w:hint="eastAsia" w:ascii="宋体" w:hAnsi="宋体" w:cs="宋体"/>
          <w:color w:val="000000"/>
          <w:sz w:val="24"/>
          <w:szCs w:val="24"/>
        </w:rPr>
        <w:t>（供货）</w:t>
      </w:r>
      <w:r>
        <w:rPr>
          <w:rFonts w:hint="eastAsia" w:ascii="宋体" w:hAnsi="宋体" w:cs="宋体"/>
          <w:sz w:val="24"/>
          <w:szCs w:val="24"/>
        </w:rPr>
        <w:t>期限为两+壹年（合同一年一签，经业主单位考核通过后在不改变采购内容及采购金额的前提下续签下一年合同）。不得变更合同签约供应商。（具体在合同中约定）。</w:t>
      </w:r>
    </w:p>
    <w:p>
      <w:pPr>
        <w:pStyle w:val="7"/>
        <w:ind w:firstLine="470" w:firstLineChars="196"/>
        <w:jc w:val="center"/>
        <w:rPr>
          <w:rFonts w:ascii="宋体" w:hAnsi="宋体"/>
          <w:color w:val="000000"/>
          <w:sz w:val="24"/>
          <w:szCs w:val="24"/>
        </w:rPr>
      </w:pPr>
    </w:p>
    <w:p>
      <w:pPr>
        <w:pStyle w:val="7"/>
        <w:ind w:firstLine="470" w:firstLineChars="196"/>
        <w:jc w:val="center"/>
        <w:rPr>
          <w:rFonts w:ascii="宋体" w:hAnsi="宋体"/>
          <w:color w:val="000000"/>
          <w:sz w:val="24"/>
          <w:szCs w:val="24"/>
        </w:rPr>
      </w:pPr>
      <w:r>
        <w:rPr>
          <w:rFonts w:hint="eastAsia" w:ascii="宋体" w:hAnsi="宋体"/>
          <w:color w:val="000000"/>
          <w:sz w:val="24"/>
          <w:szCs w:val="24"/>
        </w:rPr>
        <w:t>采购需求一览表</w:t>
      </w:r>
    </w:p>
    <w:tbl>
      <w:tblPr>
        <w:tblStyle w:val="2"/>
        <w:tblW w:w="9105" w:type="dxa"/>
        <w:tblInd w:w="0" w:type="dxa"/>
        <w:tblLayout w:type="autofit"/>
        <w:tblCellMar>
          <w:top w:w="0" w:type="dxa"/>
          <w:left w:w="0" w:type="dxa"/>
          <w:bottom w:w="0" w:type="dxa"/>
          <w:right w:w="0" w:type="dxa"/>
        </w:tblCellMar>
      </w:tblPr>
      <w:tblGrid>
        <w:gridCol w:w="762"/>
        <w:gridCol w:w="3644"/>
        <w:gridCol w:w="1314"/>
        <w:gridCol w:w="554"/>
        <w:gridCol w:w="730"/>
        <w:gridCol w:w="730"/>
        <w:gridCol w:w="1371"/>
      </w:tblGrid>
      <w:tr>
        <w:tblPrEx>
          <w:tblCellMar>
            <w:top w:w="0" w:type="dxa"/>
            <w:left w:w="0" w:type="dxa"/>
            <w:bottom w:w="0" w:type="dxa"/>
            <w:right w:w="0" w:type="dxa"/>
          </w:tblCellMar>
        </w:tblPrEx>
        <w:trPr>
          <w:trHeight w:val="270" w:hRule="atLeast"/>
        </w:trPr>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eastAsia="等线" w:cs="等线"/>
                <w:b/>
                <w:color w:val="000000"/>
                <w:szCs w:val="21"/>
              </w:rPr>
            </w:pPr>
            <w:r>
              <w:rPr>
                <w:rFonts w:ascii="等线" w:hAnsi="等线" w:eastAsia="等线" w:cs="等线"/>
                <w:b/>
                <w:color w:val="000000"/>
                <w:kern w:val="0"/>
                <w:szCs w:val="21"/>
              </w:rPr>
              <w:t>编号</w:t>
            </w:r>
          </w:p>
        </w:tc>
        <w:tc>
          <w:tcPr>
            <w:tcW w:w="36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eastAsia="等线" w:cs="等线"/>
                <w:b/>
                <w:color w:val="000000"/>
                <w:szCs w:val="21"/>
              </w:rPr>
            </w:pPr>
            <w:r>
              <w:rPr>
                <w:rFonts w:ascii="等线" w:hAnsi="等线" w:eastAsia="等线" w:cs="等线"/>
                <w:b/>
                <w:color w:val="000000"/>
                <w:kern w:val="0"/>
                <w:szCs w:val="21"/>
              </w:rPr>
              <w:t>名称</w:t>
            </w:r>
          </w:p>
        </w:tc>
        <w:tc>
          <w:tcPr>
            <w:tcW w:w="13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eastAsia="等线" w:cs="等线"/>
                <w:b/>
                <w:color w:val="000000"/>
                <w:szCs w:val="21"/>
              </w:rPr>
            </w:pPr>
            <w:r>
              <w:rPr>
                <w:rFonts w:ascii="等线" w:hAnsi="等线" w:eastAsia="等线" w:cs="等线"/>
                <w:b/>
                <w:color w:val="000000"/>
                <w:kern w:val="0"/>
                <w:szCs w:val="21"/>
              </w:rPr>
              <w:t>规格</w:t>
            </w:r>
          </w:p>
        </w:tc>
        <w:tc>
          <w:tcPr>
            <w:tcW w:w="5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eastAsia="等线" w:cs="等线"/>
                <w:b/>
                <w:color w:val="000000"/>
                <w:szCs w:val="21"/>
              </w:rPr>
            </w:pPr>
            <w:r>
              <w:rPr>
                <w:rFonts w:ascii="等线" w:hAnsi="等线" w:eastAsia="等线" w:cs="等线"/>
                <w:b/>
                <w:color w:val="000000"/>
                <w:kern w:val="0"/>
                <w:szCs w:val="21"/>
              </w:rPr>
              <w:t>单位</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eastAsia="等线" w:cs="等线"/>
                <w:b/>
                <w:color w:val="000000"/>
                <w:szCs w:val="21"/>
              </w:rPr>
            </w:pPr>
            <w:r>
              <w:rPr>
                <w:rFonts w:ascii="等线" w:hAnsi="等线" w:eastAsia="等线" w:cs="等线"/>
                <w:b/>
                <w:color w:val="000000"/>
                <w:kern w:val="0"/>
                <w:szCs w:val="21"/>
              </w:rPr>
              <w:t>数量</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eastAsia="等线" w:cs="等线"/>
                <w:b/>
                <w:color w:val="000000"/>
                <w:szCs w:val="21"/>
              </w:rPr>
            </w:pPr>
            <w:r>
              <w:rPr>
                <w:rFonts w:ascii="等线" w:hAnsi="等线" w:eastAsia="等线" w:cs="等线"/>
                <w:b/>
                <w:color w:val="000000"/>
                <w:kern w:val="0"/>
                <w:szCs w:val="21"/>
              </w:rPr>
              <w:t>单价</w:t>
            </w:r>
          </w:p>
        </w:tc>
        <w:tc>
          <w:tcPr>
            <w:tcW w:w="137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eastAsia="等线" w:cs="等线"/>
                <w:b/>
                <w:color w:val="000000"/>
                <w:szCs w:val="21"/>
              </w:rPr>
            </w:pPr>
            <w:r>
              <w:rPr>
                <w:rFonts w:ascii="等线" w:hAnsi="等线" w:eastAsia="等线" w:cs="等线"/>
                <w:b/>
                <w:color w:val="000000"/>
                <w:kern w:val="0"/>
                <w:szCs w:val="21"/>
              </w:rPr>
              <w:t>备注</w:t>
            </w:r>
          </w:p>
        </w:tc>
      </w:tr>
      <w:tr>
        <w:tblPrEx>
          <w:tblCellMar>
            <w:top w:w="0" w:type="dxa"/>
            <w:left w:w="0" w:type="dxa"/>
            <w:bottom w:w="0" w:type="dxa"/>
            <w:right w:w="0" w:type="dxa"/>
          </w:tblCellMar>
        </w:tblPrEx>
        <w:trPr>
          <w:trHeight w:val="510" w:hRule="atLeast"/>
        </w:trPr>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Narrow" w:hAnsi="Arial Narrow" w:eastAsia="Arial Narrow" w:cs="Arial Narrow"/>
                <w:color w:val="000000"/>
                <w:szCs w:val="21"/>
              </w:rPr>
            </w:pPr>
            <w:r>
              <w:rPr>
                <w:rFonts w:ascii="Arial Narrow" w:hAnsi="Arial Narrow" w:eastAsia="Arial Narrow" w:cs="Arial Narrow"/>
                <w:color w:val="000000"/>
                <w:kern w:val="0"/>
                <w:szCs w:val="21"/>
              </w:rPr>
              <w:t>1</w:t>
            </w:r>
          </w:p>
        </w:tc>
        <w:tc>
          <w:tcPr>
            <w:tcW w:w="36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ascii="宋体" w:hAnsi="宋体" w:cs="宋体"/>
                <w:color w:val="000000"/>
                <w:sz w:val="22"/>
              </w:rPr>
            </w:pPr>
            <w:r>
              <w:rPr>
                <w:rFonts w:hint="eastAsia"/>
                <w:color w:val="000000"/>
                <w:sz w:val="22"/>
              </w:rPr>
              <w:t>CD45-FITC/CD4-PE/CD8-ECD/CD3-PC5</w:t>
            </w:r>
          </w:p>
        </w:tc>
        <w:tc>
          <w:tcPr>
            <w:tcW w:w="13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Narrow" w:hAnsi="Arial Narrow" w:cs="Arial Narrow"/>
                <w:color w:val="000000"/>
                <w:szCs w:val="21"/>
              </w:rPr>
            </w:pPr>
            <w:r>
              <w:rPr>
                <w:rFonts w:hint="eastAsia" w:ascii="Arial Narrow" w:hAnsi="Arial Narrow" w:cs="Arial Narrow"/>
                <w:color w:val="000000"/>
                <w:szCs w:val="21"/>
              </w:rPr>
              <w:t>50T</w:t>
            </w:r>
          </w:p>
        </w:tc>
        <w:tc>
          <w:tcPr>
            <w:tcW w:w="5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等线" w:hAnsi="等线" w:cs="等线"/>
                <w:color w:val="000000"/>
                <w:szCs w:val="21"/>
              </w:rPr>
            </w:pPr>
            <w:r>
              <w:rPr>
                <w:rFonts w:hint="eastAsia" w:ascii="等线" w:hAnsi="等线" w:cs="等线"/>
                <w:color w:val="000000"/>
                <w:szCs w:val="21"/>
              </w:rPr>
              <w:t>盒</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ascii="等线" w:hAnsi="等线" w:cs="Tahoma"/>
                <w:color w:val="000000"/>
                <w:szCs w:val="21"/>
              </w:rPr>
            </w:pPr>
            <w:r>
              <w:rPr>
                <w:rFonts w:ascii="等线" w:hAnsi="等线" w:cs="Tahoma"/>
                <w:color w:val="000000"/>
                <w:szCs w:val="21"/>
              </w:rPr>
              <w:t>5</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等线" w:hAnsi="等线" w:cs="等线"/>
                <w:color w:val="000000"/>
                <w:szCs w:val="21"/>
              </w:rPr>
            </w:pPr>
          </w:p>
        </w:tc>
        <w:tc>
          <w:tcPr>
            <w:tcW w:w="137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cs="等线"/>
                <w:color w:val="000000"/>
                <w:szCs w:val="21"/>
              </w:rPr>
            </w:pPr>
            <w:r>
              <w:rPr>
                <w:rFonts w:hint="eastAsia" w:ascii="等线" w:hAnsi="等线" w:cs="等线"/>
                <w:color w:val="000000"/>
                <w:szCs w:val="21"/>
              </w:rPr>
              <w:t>适用于贝克曼DXFELX</w:t>
            </w:r>
          </w:p>
        </w:tc>
      </w:tr>
      <w:tr>
        <w:tblPrEx>
          <w:tblCellMar>
            <w:top w:w="0" w:type="dxa"/>
            <w:left w:w="0" w:type="dxa"/>
            <w:bottom w:w="0" w:type="dxa"/>
            <w:right w:w="0" w:type="dxa"/>
          </w:tblCellMar>
        </w:tblPrEx>
        <w:trPr>
          <w:trHeight w:val="510" w:hRule="atLeast"/>
        </w:trPr>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Narrow" w:hAnsi="Arial Narrow" w:cs="Arial Narrow"/>
                <w:color w:val="000000"/>
                <w:szCs w:val="21"/>
              </w:rPr>
            </w:pPr>
            <w:r>
              <w:rPr>
                <w:rFonts w:hint="eastAsia" w:ascii="Arial Narrow" w:hAnsi="Arial Narrow" w:cs="Arial Narrow"/>
                <w:color w:val="000000"/>
                <w:kern w:val="0"/>
                <w:szCs w:val="21"/>
              </w:rPr>
              <w:t>2</w:t>
            </w:r>
          </w:p>
        </w:tc>
        <w:tc>
          <w:tcPr>
            <w:tcW w:w="36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ascii="宋体" w:hAnsi="宋体" w:cs="宋体"/>
                <w:color w:val="000000"/>
                <w:sz w:val="22"/>
              </w:rPr>
            </w:pPr>
            <w:r>
              <w:rPr>
                <w:rFonts w:hint="eastAsia"/>
                <w:color w:val="000000"/>
                <w:sz w:val="22"/>
              </w:rPr>
              <w:t>CD45-FITC/CD56-PE/CD19-ECD/CD3-PC5</w:t>
            </w:r>
          </w:p>
        </w:tc>
        <w:tc>
          <w:tcPr>
            <w:tcW w:w="13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r>
              <w:rPr>
                <w:rFonts w:hint="eastAsia" w:ascii="Arial Narrow" w:hAnsi="Arial Narrow" w:cs="Arial Narrow"/>
                <w:color w:val="000000"/>
                <w:szCs w:val="21"/>
              </w:rPr>
              <w:t>50T</w:t>
            </w:r>
          </w:p>
        </w:tc>
        <w:tc>
          <w:tcPr>
            <w:tcW w:w="5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等线" w:hAnsi="等线" w:cs="等线"/>
                <w:color w:val="000000"/>
                <w:szCs w:val="21"/>
              </w:rPr>
            </w:pPr>
            <w:r>
              <w:rPr>
                <w:rFonts w:hint="eastAsia" w:ascii="等线" w:hAnsi="等线" w:cs="等线"/>
                <w:color w:val="000000"/>
                <w:szCs w:val="21"/>
              </w:rPr>
              <w:t>盒</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ascii="等线" w:hAnsi="等线" w:cs="Tahoma"/>
                <w:color w:val="000000"/>
                <w:szCs w:val="21"/>
              </w:rPr>
            </w:pPr>
            <w:r>
              <w:rPr>
                <w:rFonts w:ascii="等线" w:hAnsi="等线" w:cs="Tahoma"/>
                <w:color w:val="000000"/>
                <w:szCs w:val="21"/>
              </w:rPr>
              <w:t>5</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等线" w:hAnsi="等线" w:cs="等线"/>
                <w:color w:val="000000"/>
                <w:szCs w:val="21"/>
              </w:rPr>
            </w:pPr>
          </w:p>
        </w:tc>
        <w:tc>
          <w:tcPr>
            <w:tcW w:w="137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r>
              <w:rPr>
                <w:rFonts w:hint="eastAsia" w:ascii="等线" w:hAnsi="等线" w:cs="等线"/>
                <w:color w:val="000000"/>
                <w:szCs w:val="21"/>
              </w:rPr>
              <w:t>适用于贝克曼DXFELX</w:t>
            </w:r>
          </w:p>
        </w:tc>
      </w:tr>
      <w:tr>
        <w:tblPrEx>
          <w:tblCellMar>
            <w:top w:w="0" w:type="dxa"/>
            <w:left w:w="0" w:type="dxa"/>
            <w:bottom w:w="0" w:type="dxa"/>
            <w:right w:w="0" w:type="dxa"/>
          </w:tblCellMar>
        </w:tblPrEx>
        <w:trPr>
          <w:trHeight w:val="270" w:hRule="atLeast"/>
        </w:trPr>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Narrow" w:hAnsi="Arial Narrow" w:cs="Arial Narrow"/>
                <w:color w:val="000000"/>
                <w:szCs w:val="21"/>
              </w:rPr>
            </w:pPr>
            <w:r>
              <w:rPr>
                <w:rFonts w:hint="eastAsia" w:ascii="Arial Narrow" w:hAnsi="Arial Narrow" w:cs="Arial Narrow"/>
                <w:color w:val="000000"/>
                <w:szCs w:val="21"/>
              </w:rPr>
              <w:t>3</w:t>
            </w:r>
          </w:p>
        </w:tc>
        <w:tc>
          <w:tcPr>
            <w:tcW w:w="36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ascii="宋体" w:hAnsi="宋体" w:cs="宋体"/>
                <w:color w:val="000000"/>
                <w:sz w:val="22"/>
              </w:rPr>
            </w:pPr>
            <w:r>
              <w:rPr>
                <w:rFonts w:hint="eastAsia"/>
                <w:color w:val="000000"/>
                <w:sz w:val="22"/>
              </w:rPr>
              <w:t>溶血素</w:t>
            </w:r>
          </w:p>
        </w:tc>
        <w:tc>
          <w:tcPr>
            <w:tcW w:w="13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r>
              <w:rPr>
                <w:rFonts w:hint="eastAsia" w:ascii="Arial Narrow" w:hAnsi="Arial Narrow" w:cs="Arial Narrow"/>
                <w:color w:val="000000"/>
                <w:szCs w:val="21"/>
              </w:rPr>
              <w:t>200T</w:t>
            </w:r>
          </w:p>
        </w:tc>
        <w:tc>
          <w:tcPr>
            <w:tcW w:w="5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等线" w:hAnsi="等线" w:cs="等线"/>
                <w:color w:val="000000"/>
                <w:szCs w:val="21"/>
              </w:rPr>
            </w:pPr>
            <w:r>
              <w:rPr>
                <w:rFonts w:hint="eastAsia" w:ascii="等线" w:hAnsi="等线" w:cs="等线"/>
                <w:color w:val="000000"/>
                <w:szCs w:val="21"/>
              </w:rPr>
              <w:t>瓶</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ascii="等线" w:hAnsi="等线" w:cs="Tahoma"/>
                <w:color w:val="000000"/>
                <w:szCs w:val="21"/>
              </w:rPr>
            </w:pPr>
            <w:r>
              <w:rPr>
                <w:rFonts w:ascii="等线" w:hAnsi="等线" w:cs="Tahoma"/>
                <w:color w:val="000000"/>
                <w:szCs w:val="21"/>
              </w:rPr>
              <w:t>2</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等线" w:hAnsi="等线" w:cs="等线"/>
                <w:color w:val="000000"/>
                <w:szCs w:val="21"/>
              </w:rPr>
            </w:pPr>
          </w:p>
        </w:tc>
        <w:tc>
          <w:tcPr>
            <w:tcW w:w="137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r>
              <w:rPr>
                <w:rFonts w:hint="eastAsia" w:ascii="等线" w:hAnsi="等线" w:cs="等线"/>
                <w:color w:val="000000"/>
                <w:szCs w:val="21"/>
              </w:rPr>
              <w:t>适用于贝克曼DXFELX</w:t>
            </w:r>
          </w:p>
        </w:tc>
      </w:tr>
      <w:tr>
        <w:tblPrEx>
          <w:tblCellMar>
            <w:top w:w="0" w:type="dxa"/>
            <w:left w:w="0" w:type="dxa"/>
            <w:bottom w:w="0" w:type="dxa"/>
            <w:right w:w="0" w:type="dxa"/>
          </w:tblCellMar>
        </w:tblPrEx>
        <w:trPr>
          <w:trHeight w:val="270" w:hRule="atLeast"/>
        </w:trPr>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Narrow" w:hAnsi="Arial Narrow" w:cs="Arial Narrow"/>
                <w:color w:val="000000"/>
                <w:szCs w:val="21"/>
              </w:rPr>
            </w:pPr>
            <w:r>
              <w:rPr>
                <w:rFonts w:hint="eastAsia" w:ascii="Arial Narrow" w:hAnsi="Arial Narrow" w:cs="Arial Narrow"/>
                <w:color w:val="000000"/>
                <w:szCs w:val="21"/>
              </w:rPr>
              <w:t>4</w:t>
            </w:r>
          </w:p>
        </w:tc>
        <w:tc>
          <w:tcPr>
            <w:tcW w:w="36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ascii="宋体" w:hAnsi="宋体" w:cs="宋体"/>
                <w:color w:val="000000"/>
                <w:sz w:val="22"/>
              </w:rPr>
            </w:pPr>
            <w:r>
              <w:rPr>
                <w:rFonts w:hint="eastAsia"/>
                <w:color w:val="000000"/>
                <w:sz w:val="22"/>
              </w:rPr>
              <w:t>绝对计数微球</w:t>
            </w:r>
          </w:p>
        </w:tc>
        <w:tc>
          <w:tcPr>
            <w:tcW w:w="13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r>
              <w:rPr>
                <w:rFonts w:hint="eastAsia" w:ascii="Arial Narrow" w:hAnsi="Arial Narrow" w:cs="Arial Narrow"/>
                <w:color w:val="000000"/>
                <w:szCs w:val="21"/>
              </w:rPr>
              <w:t>200T</w:t>
            </w:r>
          </w:p>
        </w:tc>
        <w:tc>
          <w:tcPr>
            <w:tcW w:w="5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等线" w:hAnsi="等线" w:cs="等线"/>
                <w:color w:val="000000"/>
                <w:szCs w:val="21"/>
              </w:rPr>
            </w:pPr>
            <w:r>
              <w:rPr>
                <w:rFonts w:hint="eastAsia" w:ascii="等线" w:hAnsi="等线" w:cs="等线"/>
                <w:color w:val="000000"/>
                <w:szCs w:val="21"/>
              </w:rPr>
              <w:t>盒</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ascii="等线" w:hAnsi="等线" w:cs="Tahoma"/>
                <w:color w:val="000000"/>
                <w:szCs w:val="21"/>
              </w:rPr>
            </w:pPr>
            <w:r>
              <w:rPr>
                <w:rFonts w:ascii="等线" w:hAnsi="等线" w:cs="Tahoma"/>
                <w:color w:val="000000"/>
                <w:szCs w:val="21"/>
              </w:rPr>
              <w:t>2</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等线" w:hAnsi="等线" w:cs="等线"/>
                <w:color w:val="000000"/>
                <w:szCs w:val="21"/>
              </w:rPr>
            </w:pPr>
          </w:p>
        </w:tc>
        <w:tc>
          <w:tcPr>
            <w:tcW w:w="137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r>
              <w:rPr>
                <w:rFonts w:hint="eastAsia" w:ascii="等线" w:hAnsi="等线" w:cs="等线"/>
                <w:color w:val="000000"/>
                <w:szCs w:val="21"/>
              </w:rPr>
              <w:t>适用于贝克曼DXFELX</w:t>
            </w:r>
          </w:p>
        </w:tc>
      </w:tr>
      <w:tr>
        <w:tblPrEx>
          <w:tblCellMar>
            <w:top w:w="0" w:type="dxa"/>
            <w:left w:w="0" w:type="dxa"/>
            <w:bottom w:w="0" w:type="dxa"/>
            <w:right w:w="0" w:type="dxa"/>
          </w:tblCellMar>
        </w:tblPrEx>
        <w:trPr>
          <w:trHeight w:val="270" w:hRule="atLeast"/>
        </w:trPr>
        <w:tc>
          <w:tcPr>
            <w:tcW w:w="7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Narrow" w:hAnsi="Arial Narrow" w:cs="Arial Narrow"/>
                <w:color w:val="000000"/>
                <w:szCs w:val="21"/>
              </w:rPr>
            </w:pPr>
            <w:r>
              <w:rPr>
                <w:rFonts w:hint="eastAsia" w:ascii="Arial Narrow" w:hAnsi="Arial Narrow" w:cs="Arial Narrow"/>
                <w:color w:val="000000"/>
                <w:szCs w:val="21"/>
              </w:rPr>
              <w:t>5</w:t>
            </w:r>
          </w:p>
        </w:tc>
        <w:tc>
          <w:tcPr>
            <w:tcW w:w="36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color w:val="000000"/>
                <w:sz w:val="22"/>
              </w:rPr>
            </w:pPr>
            <w:r>
              <w:rPr>
                <w:rFonts w:hint="eastAsia"/>
                <w:color w:val="000000"/>
                <w:sz w:val="22"/>
              </w:rPr>
              <w:t>流式管</w:t>
            </w:r>
          </w:p>
        </w:tc>
        <w:tc>
          <w:tcPr>
            <w:tcW w:w="13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rPr>
                <w:rFonts w:ascii="Arial Narrow" w:hAnsi="Arial Narrow" w:cs="Arial Narrow"/>
                <w:color w:val="000000"/>
                <w:szCs w:val="21"/>
              </w:rPr>
            </w:pPr>
            <w:r>
              <w:rPr>
                <w:rFonts w:hint="eastAsia" w:ascii="Arial Narrow" w:hAnsi="Arial Narrow" w:cs="Arial Narrow"/>
                <w:color w:val="000000"/>
                <w:szCs w:val="21"/>
              </w:rPr>
              <w:t>5000</w:t>
            </w:r>
          </w:p>
        </w:tc>
        <w:tc>
          <w:tcPr>
            <w:tcW w:w="5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等线" w:hAnsi="等线" w:cs="等线"/>
                <w:color w:val="000000"/>
                <w:szCs w:val="21"/>
              </w:rPr>
            </w:pPr>
            <w:r>
              <w:rPr>
                <w:rFonts w:hint="eastAsia" w:ascii="等线" w:hAnsi="等线" w:cs="等线"/>
                <w:color w:val="000000"/>
                <w:szCs w:val="21"/>
              </w:rPr>
              <w:t>箱</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jc w:val="center"/>
              <w:rPr>
                <w:rFonts w:ascii="等线" w:hAnsi="等线" w:cs="Tahoma"/>
                <w:color w:val="000000"/>
                <w:szCs w:val="21"/>
              </w:rPr>
            </w:pPr>
            <w:r>
              <w:rPr>
                <w:rFonts w:ascii="等线" w:hAnsi="等线" w:cs="Tahoma"/>
                <w:color w:val="000000"/>
                <w:szCs w:val="21"/>
              </w:rPr>
              <w:t>1</w:t>
            </w:r>
          </w:p>
        </w:tc>
        <w:tc>
          <w:tcPr>
            <w:tcW w:w="7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等线" w:hAnsi="等线" w:cs="等线"/>
                <w:color w:val="000000"/>
                <w:szCs w:val="21"/>
              </w:rPr>
            </w:pPr>
            <w:bookmarkStart w:id="1" w:name="_GoBack"/>
            <w:bookmarkEnd w:id="1"/>
          </w:p>
        </w:tc>
        <w:tc>
          <w:tcPr>
            <w:tcW w:w="137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rPr>
                <w:rFonts w:ascii="等线" w:hAnsi="等线" w:cs="等线"/>
                <w:color w:val="000000"/>
                <w:szCs w:val="21"/>
              </w:rPr>
            </w:pPr>
            <w:r>
              <w:rPr>
                <w:rFonts w:hint="eastAsia" w:ascii="等线" w:hAnsi="等线" w:cs="等线"/>
                <w:color w:val="000000"/>
                <w:szCs w:val="21"/>
              </w:rPr>
              <w:t>适用于贝克曼DXFELX</w:t>
            </w:r>
          </w:p>
        </w:tc>
      </w:tr>
    </w:tbl>
    <w:p>
      <w:pPr>
        <w:pStyle w:val="7"/>
        <w:ind w:firstLine="470" w:firstLineChars="196"/>
        <w:jc w:val="center"/>
        <w:rPr>
          <w:rFonts w:ascii="宋体" w:hAnsi="宋体"/>
          <w:color w:val="000000"/>
          <w:sz w:val="24"/>
          <w:szCs w:val="2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Arial Narrow">
    <w:panose1 w:val="020B0606020202030204"/>
    <w:charset w:val="00"/>
    <w:family w:val="auto"/>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B0C"/>
    <w:rsid w:val="001B2ED1"/>
    <w:rsid w:val="00533811"/>
    <w:rsid w:val="005E3B73"/>
    <w:rsid w:val="00841036"/>
    <w:rsid w:val="00950D54"/>
    <w:rsid w:val="00A573C2"/>
    <w:rsid w:val="00AE7A08"/>
    <w:rsid w:val="00D86B0C"/>
    <w:rsid w:val="00EB3333"/>
    <w:rsid w:val="00EC1455"/>
    <w:rsid w:val="00ED3E66"/>
    <w:rsid w:val="00FC6738"/>
    <w:rsid w:val="00FD25F9"/>
    <w:rsid w:val="2E495C69"/>
    <w:rsid w:val="30A621D7"/>
    <w:rsid w:val="5CDC77CD"/>
    <w:rsid w:val="636739E5"/>
    <w:rsid w:val="73192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font01"/>
    <w:basedOn w:val="3"/>
    <w:qFormat/>
    <w:uiPriority w:val="0"/>
    <w:rPr>
      <w:rFonts w:hint="default" w:ascii="等线" w:hAnsi="等线" w:eastAsia="等线" w:cs="等线"/>
      <w:color w:val="000000"/>
      <w:sz w:val="21"/>
      <w:szCs w:val="21"/>
      <w:u w:val="none"/>
    </w:rPr>
  </w:style>
  <w:style w:type="character" w:customStyle="1" w:styleId="5">
    <w:name w:val="font11"/>
    <w:basedOn w:val="3"/>
    <w:uiPriority w:val="0"/>
    <w:rPr>
      <w:rFonts w:hint="default" w:ascii="Arial Narrow" w:hAnsi="Arial Narrow" w:eastAsia="Arial Narrow" w:cs="Arial Narrow"/>
      <w:color w:val="000000"/>
      <w:sz w:val="21"/>
      <w:szCs w:val="21"/>
      <w:u w:val="none"/>
    </w:rPr>
  </w:style>
  <w:style w:type="paragraph" w:customStyle="1" w:styleId="6">
    <w:name w:val="Normal_2_0_0"/>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7">
    <w:name w:val="正文_0_0"/>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114</Words>
  <Characters>656</Characters>
  <Lines>5</Lines>
  <Paragraphs>1</Paragraphs>
  <TotalTime>0</TotalTime>
  <ScaleCrop>false</ScaleCrop>
  <LinksUpToDate>false</LinksUpToDate>
  <CharactersWithSpaces>769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2020-10-12T09:16:00Z</dcterms:created>
  <dc:creator>Administrator</dc:creator>
  <cp:lastModifiedBy>Administrator</cp:lastModifiedBy>
  <dcterms:modified xsi:type="dcterms:W3CDTF">2020-11-19T13:25:05Z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